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qonto-invoice-chaser</w:t>
      </w:r>
    </w:p>
    <w:p>
      <w:pPr>
        <w:jc w:val="center"/>
      </w:pPr>
      <w:r>
        <w:rPr>
          <w:b/>
          <w:color w:val="1D1B29"/>
          <w:sz w:val="26"/>
        </w:rPr>
        <w:t>Relancer juste, encaisser plus vite — la relance d'impayés qui vérifie la banque avant d'écrire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#4  ·  Ne relance jamais une facture déjà payée  ·  Brouillons, jamais d'envoi silencieux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Une facture B2B française est payée en moyenne avec plus de 11 jours de retard — et la relance est la corvée que tout le monde repousse : gênante, répétitive, vite oubliée. Le skill transforme le compte Qonto en chargé de recouvrement qui ne froisse personne :</w:t>
      </w:r>
    </w:p>
    <w:p>
      <w:pPr>
        <w:pStyle w:val="ListBullet"/>
        <w:spacing w:after="60"/>
      </w:pPr>
      <w:r>
        <w:rPr>
          <w:sz w:val="21"/>
        </w:rPr>
        <w:t>1. Détection des impayés — factures clients en retard (due_date), ancienneté calculée, encours total, aging 0-30 / 31-60 / 60+ jours</w:t>
      </w:r>
    </w:p>
    <w:p>
      <w:pPr>
        <w:pStyle w:val="ListBullet"/>
        <w:spacing w:after="60"/>
      </w:pPr>
      <w:r>
        <w:rPr>
          <w:sz w:val="21"/>
        </w:rPr>
        <w:t>2. Croisement avec les encaissements réels — une facture « unpaid » peut être déjà payée (virement hors lien de paiement) : matching montant / contrepartie / référence → mark_client_invoice_as_paid proposé, jamais silencieux</w:t>
      </w:r>
    </w:p>
    <w:p>
      <w:pPr>
        <w:pStyle w:val="ListBullet"/>
        <w:spacing w:after="60"/>
      </w:pPr>
      <w:r>
        <w:rPr>
          <w:sz w:val="21"/>
        </w:rPr>
        <w:t>3. Profil payeur &amp; relance graduée — bon payeur en retard exceptionnel ≠ retardataire chronique ; rappel courtois ~J+7 → relance ferme ~J+21 → mise en demeure ~J+45 avec intérêts et indemnité forfaitaire de 40 € (art. L441-10 C. com)</w:t>
      </w:r>
    </w:p>
    <w:p>
      <w:pPr>
        <w:pStyle w:val="ListBullet"/>
        <w:spacing w:after="60"/>
      </w:pPr>
      <w:r>
        <w:rPr>
          <w:sz w:val="21"/>
        </w:rPr>
        <w:t>4. Brouillon Gmail — si le MCP Gmail est connecté, la relance atterrit en brouillon : l'utilisateur relit et envoie. Sinon texte prêt à copier. Rien ne part jamais tout seul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Kit juridique complet (intérêts + 40 €, art. L441-10) : France. Autres pays Qonto (DE, ES, IT…) : relances graduées identiques, référence générique à la directive UE 2011/7 — jamais de taux inventé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Factures clients dans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skill lit list_client_invoices ; sans facturation Qonto, rien à relancer — et il le dit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Gmail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Optionnel, détecté dynamiquement : présent → brouillons de relance ; absent → texte prêt à copier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Historique de facturation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Nourrit le profil payeur ; sans historique : ton standard + avertissement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(rien ne part sans l'utilisateur)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La facture payée jamais marquée : virement reçu hors lien de paiement → le croisement list_transactions la détecte (montant exact ±0,01, contrepartie ≈ client, référence contenant le n°) et propose le marquage avec la transaction en preuve</w:t>
      </w:r>
    </w:p>
    <w:p>
      <w:pPr>
        <w:pStyle w:val="ListBullet"/>
        <w:spacing w:after="60"/>
      </w:pPr>
      <w:r>
        <w:rPr>
          <w:sz w:val="21"/>
        </w:rPr>
        <w:t>Paiement partiel ou virement groupé (un règlement pour plusieurs factures) : candidats présentés avec les montants, jamais de marquage automatique, jamais de relance à l'aveugle</w:t>
      </w:r>
    </w:p>
    <w:p>
      <w:pPr>
        <w:pStyle w:val="ListBullet"/>
        <w:spacing w:after="60"/>
      </w:pPr>
      <w:r>
        <w:rPr>
          <w:sz w:val="21"/>
        </w:rPr>
        <w:t>Profil payeur sans historique : ton standard, annoncé honnêtement</w:t>
      </w:r>
    </w:p>
    <w:p>
      <w:pPr>
        <w:pStyle w:val="ListBullet"/>
        <w:spacing w:after="60"/>
      </w:pPr>
      <w:r>
        <w:rPr>
          <w:sz w:val="21"/>
        </w:rPr>
        <w:t>Email absent de la fiche client : signalé via get_client, suggestion de compléter la fiche — jamais d'adresse devinée</w:t>
      </w:r>
    </w:p>
    <w:p>
      <w:pPr>
        <w:pStyle w:val="ListBullet"/>
        <w:spacing w:after="60"/>
      </w:pPr>
      <w:r>
        <w:rPr>
          <w:sz w:val="21"/>
        </w:rPr>
        <w:t>Organisation hors France : relances graduées identiques, aucun taux juridique inventé</w:t>
      </w:r>
    </w:p>
    <w:p>
      <w:pPr>
        <w:pStyle w:val="ListBullet"/>
        <w:spacing w:after="60"/>
      </w:pPr>
      <w:r>
        <w:rPr>
          <w:sz w:val="21"/>
        </w:rPr>
        <w:t>Compte vide ou sans factures clients : le skill le dit et s'arrête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sans risque (plein), écritures proposées sous consentement (pointillé)</w:t>
      </w:r>
    </w:p>
    <w:p>
      <w:r>
        <w:rPr>
          <w:b/>
          <w:i w:val="0"/>
          <w:sz w:val="21"/>
        </w:rPr>
        <w:t>🔒 Le skill rédige ; l'utilisateur décide : la lecture est sans risque ; les deux écritures sont des actions proposées — le marquage « payée » exige la confirmation explicite dans la conversation, et la relance n'existe qu'en brouillon que l'utilisateur seul relit et envoie. Aucun email ne part sans lui.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📨 L'échelle de relance (France, B2B)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113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Registre</w:t>
            </w:r>
          </w:p>
        </w:tc>
        <w:tc>
          <w:tcPr>
            <w:tcW w:type="dxa" w:w="442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Contenu obligatoire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Rappel courtois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sz w:val="19"/>
              </w:rPr>
              <w:t>~J+7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Chaleureux, présume l'oubli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N° de facture, montant TTC, date d'échéance, moyen de paiement indiqué sur la facture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Relance ferme</w:t>
            </w:r>
          </w:p>
        </w:tc>
        <w:tc>
          <w:tcPr>
            <w:tcW w:type="dxa" w:w="1134"/>
            <w:shd w:val="clear" w:fill="F1EDFF"/>
          </w:tcPr>
          <w:p>
            <w:pPr>
              <w:keepNext/>
            </w:pPr>
            <w:r>
              <w:rPr>
                <w:sz w:val="19"/>
              </w:rPr>
              <w:t>~J+21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Ferme, factuel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Idem + jours de retard, rappel de la 1ère relance, annonce de l'étape suivante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Mise en demeure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~J+45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Formel, juridique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Idem + intérêts de retard (taux contractuel, sinon BCE + 10 pts, plancher 3× taux légal) calculés au jour près + indemnité forfaitaire de 40 € par facture (art. L441-10 &amp; D441-5 C. com) + délai de règlement + envoi LRAR conseillé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b/>
          <w:color w:val="6B4EFF"/>
          <w:sz w:val="25"/>
        </w:rPr>
        <w:t>Le ton s'adapte au profil payeur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Profil</w:t>
            </w:r>
          </w:p>
        </w:tc>
        <w:tc>
          <w:tcPr>
            <w:tcW w:type="dxa" w:w="294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Détecté par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Effet sur la relance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🟢 Fiable, retard exceptionnel</w:t>
            </w:r>
          </w:p>
        </w:tc>
        <w:tc>
          <w:tcPr>
            <w:tcW w:type="dxa" w:w="2948"/>
          </w:tcPr>
          <w:p>
            <w:pPr>
              <w:keepNext/>
            </w:pPr>
            <w:r>
              <w:rPr>
                <w:sz w:val="19"/>
              </w:rPr>
              <w:t>Factures toujours réglées, retard moyen faible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Registre le plus chaleureux, bénéfice du doute (« 24 factures, toujours réglées, retard moyen 5 j → ton chaleureux »)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🟡 Retardataire occasionnel</w:t>
            </w:r>
          </w:p>
        </w:tc>
        <w:tc>
          <w:tcPr>
            <w:tcW w:type="dxa" w:w="2948"/>
            <w:shd w:val="clear" w:fill="F1EDFF"/>
          </w:tcPr>
          <w:p>
            <w:pPr>
              <w:keepNext/>
            </w:pPr>
            <w:r>
              <w:rPr>
                <w:sz w:val="19"/>
              </w:rPr>
              <w:t>Retards ponctuels dans l'historique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Échelle standard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b/>
                <w:sz w:val="19"/>
              </w:rPr>
              <w:t>🔴 Retardataire chronique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Retard moyen élevé, relances répétées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  <w:t>Jamais le registre le plus chaleureux — mais toujours correct et factuel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(encours, aging, table d'action par facture)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Brouillon Gmail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Email complet : destinataire, objet avec n° de facture, corps personnalisé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le MCP Gmail est connecté ; repli sur texte à copier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Texte prêt à copier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Objet + corps, à coller dans n'importe quel client mail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Sans MCP Gmail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Fichier/artifact HTML : barres d'aging, top retardataires, pipeline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Si l'hôte affiche les fichiers ; repli sur les tableaux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scan + croisement (la facture déjà payée détectée avant toute relance) → profil payeur → le brouillon qui apparaît dans Gmail avec les chiffres exacts → rapport d'encours. Tournée en live sur un compte de production réel, avec un impayé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Lien de paiement dans la relance (create_payment_link)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client paie en un clic depuis l'email — les payment links marchent malgré la doc MCP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Kits juridiques par pays (DE · ES · IT · AT · NL · BE · PT)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Transposition de la directive 2011/7/UE propre à chaque pays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Rythme automatique (relance du lundi matin planifiée)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rituel devient un rendez-vous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Cycle complet order-to-cash (devis → facture → encaissement)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Réutilise l'héritage P4 en amont du chasseur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de marquage « payée » sans montrer la transaction et obtenir la confirmation explicite dans la conversation</w:t>
      </w:r>
    </w:p>
    <w:p>
      <w:pPr>
        <w:pStyle w:val="ListBullet"/>
        <w:spacing w:after="60"/>
      </w:pPr>
      <w:r>
        <w:rPr>
          <w:sz w:val="21"/>
        </w:rPr>
        <w:t>JAMAIS d'envoi d'email de sa propre initiative : brouillons par défaut, envoi direct uniquement sur demande explicite — jamais présenté comme envoyé s'il ne l'est pas</w:t>
      </w:r>
    </w:p>
    <w:p>
      <w:pPr>
        <w:pStyle w:val="ListBullet"/>
        <w:spacing w:after="60"/>
      </w:pPr>
      <w:r>
        <w:rPr>
          <w:sz w:val="21"/>
        </w:rPr>
        <w:t>Sous le seuil de confiance du matching : question plutôt qu'action — relancer un client qui a payé coûte plus cher qu'une question</w:t>
      </w:r>
    </w:p>
    <w:p>
      <w:pPr>
        <w:pStyle w:val="ListBullet"/>
        <w:spacing w:after="60"/>
      </w:pPr>
      <w:r>
        <w:rPr>
          <w:sz w:val="21"/>
        </w:rPr>
        <w:t>Calculs juridiques France uniquement, informatifs, pas un conseil juridique — relecture pro recommandée avant mise en demeure, envoi LRAR conseillé</w:t>
      </w:r>
    </w:p>
    <w:p>
      <w:pPr>
        <w:pStyle w:val="ListBullet"/>
        <w:spacing w:after="60"/>
      </w:pPr>
      <w:r>
        <w:rPr>
          <w:sz w:val="21"/>
        </w:rPr>
        <w:t>Répétitions : client fictif + factures draft + delete_client_invoice ; brouillons Gmail de test nettoyés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qonto-invoice-chaser · Documentation FR (pilotage) · Hackathon Qonto × Anthropic MCP · juillet 2026 · Livrable PR : SKILL.md · Version jury : doc-qonto-invoice-chaser.en.docx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