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qonto-monthly-close</w:t>
      </w:r>
    </w:p>
    <w:p>
      <w:pPr>
        <w:jc w:val="center"/>
      </w:pPr>
      <w:r>
        <w:rPr>
          <w:b/>
          <w:color w:val="1D1B29"/>
          <w:sz w:val="26"/>
        </w:rPr>
        <w:t>Clôture Zen — le CFO de fin de mois en 3 minutes, en lecture seule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#6  ·  100 % lecture seule  ·  Chef d'orchestre mensuel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Chaque fin de mois, le dirigeant de TPE passe 2 à 4 heures à compiler relevés, justificatifs, TVA et impayés pour son comptable. Un seul prompt — « clôture mon mois » — déclenche la revue complète :</w:t>
      </w:r>
    </w:p>
    <w:p>
      <w:pPr>
        <w:pStyle w:val="ListBullet"/>
        <w:spacing w:after="60"/>
      </w:pPr>
      <w:r>
        <w:rPr>
          <w:sz w:val="21"/>
        </w:rPr>
        <w:t>1. Justificatifs manquants, priorisés par enjeu — classement par montant et TVA récupérable en jeu, score de complétude du mois</w:t>
      </w:r>
    </w:p>
    <w:p>
      <w:pPr>
        <w:pStyle w:val="ListBullet"/>
        <w:spacing w:after="60"/>
      </w:pPr>
      <w:r>
        <w:rPr>
          <w:sz w:val="21"/>
        </w:rPr>
        <w:t>2. TVA du mois — collectée (sur les encaissements si on_receipts est détecté) − déductible (plancher annoncé) = net à provisionner</w:t>
      </w:r>
    </w:p>
    <w:p>
      <w:pPr>
        <w:pStyle w:val="ListBullet"/>
        <w:spacing w:after="60"/>
      </w:pPr>
      <w:r>
        <w:rPr>
          <w:sz w:val="21"/>
        </w:rPr>
        <w:t>3. Anomalies — dépense inhabituelle, doublon de prélèvement, nouveau bénéficiaire — signalées avec preuves, jamais accusées</w:t>
      </w:r>
    </w:p>
    <w:p>
      <w:pPr>
        <w:pStyle w:val="ListBullet"/>
        <w:spacing w:after="60"/>
      </w:pPr>
      <w:r>
        <w:rPr>
          <w:sz w:val="21"/>
        </w:rPr>
        <w:t>4. Le reste de la revue — sans-label (catégorie proposée), impayés clients (retard + historique), comparaison vs mois précédent</w:t>
      </w:r>
    </w:p>
    <w:p>
      <w:r>
        <w:rPr>
          <w:b/>
          <w:i w:val="0"/>
          <w:sz w:val="21"/>
        </w:rPr>
        <w:t>→ Rapport de clôture actionnable, avec la to-do de régularisation classée par priorité (P1 argent en jeu → P2 conformité → P3 hygiène).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🧭 Positionnement dans la gamme</w:t>
      </w:r>
    </w:p>
    <w:p>
      <w:r>
        <w:rPr>
          <w:b w:val="0"/>
          <w:i w:val="0"/>
          <w:sz w:val="21"/>
        </w:rPr>
        <w:t>qonto-monthly-close est le chef d'orchestre mensuel : il détecte et priorise, en lecture seule. Chaque chantier a ensuite son spécialiste 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368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Il détecte…</w:t>
            </w:r>
          </w:p>
        </w:tc>
        <w:tc>
          <w:tcPr>
            <w:tcW w:type="dxa" w:w="595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Le spécialiste qui agit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9"/>
              </w:rPr>
              <w:t>Justificatifs manquants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9"/>
              </w:rPr>
              <w:t>qonto-receipt-hunter — chasse + upload</w:t>
            </w:r>
          </w:p>
        </w:tc>
      </w:tr>
      <w:tr>
        <w:trPr>
          <w:cantSplit/>
        </w:trPr>
        <w:tc>
          <w:tcPr>
            <w:tcW w:type="dxa" w:w="368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Impayés clients</w:t>
            </w:r>
          </w:p>
        </w:tc>
        <w:tc>
          <w:tcPr>
            <w:tcW w:type="dxa" w:w="5953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qonto-invoice-chaser — relances rédigées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9"/>
              </w:rPr>
              <w:t>TVA à provisionner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qonto-tax-pilot — échéancier + provision sous SCA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Justificatifs, anomalies, impayés, comparaisons : tous les pays Qonto. Module TVA : logique France ; autres pays (DE, ES, IT…) → estimation générique, annoncée comme telle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Historique ≥ 3 mois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Les détecteurs d'anomalies et la comparaison ont besoin d'une base ; en dessous, dégradation honnête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MCP Gmail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Optionnel, détecté dynamiquement : chasse aux reçus manquants dans la boîte mail ; sinon le skill le dit et continue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(100 % lecture seule)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Baselines avant jugements : 3-6 mois d'historique lus en plus du mois — les détecteurs comparent à l'habitude du compte et montrent toujours la preuve (dates, montants, baseline)</w:t>
      </w:r>
    </w:p>
    <w:p>
      <w:pPr>
        <w:pStyle w:val="ListBullet"/>
        <w:spacing w:after="60"/>
      </w:pPr>
      <w:r>
        <w:rPr>
          <w:sz w:val="21"/>
        </w:rPr>
        <w:t>TVA sur encaissements gérée : vat_payment_condition « on_receipts » détecté sur les factures → la collectée suit les paiements reçus, pas les factures émises</w:t>
      </w:r>
    </w:p>
    <w:p>
      <w:pPr>
        <w:pStyle w:val="ListBullet"/>
        <w:spacing w:after="60"/>
      </w:pPr>
      <w:r>
        <w:rPr>
          <w:sz w:val="21"/>
        </w:rPr>
        <w:t>TVA déductible = plancher : somme des vat_amount, nombre de débits non renseignés annoncé — et le coût des justificatifs manquants chiffré (pas de facture = TVA non déductible)</w:t>
      </w:r>
    </w:p>
    <w:p>
      <w:pPr>
        <w:pStyle w:val="ListBullet"/>
        <w:spacing w:after="60"/>
      </w:pPr>
      <w:r>
        <w:rPr>
          <w:sz w:val="21"/>
        </w:rPr>
        <w:t>list_cash_flow_categories renvoie 403 sur le connecteur claude.ai → fallback list_labels, géré silencieusement</w:t>
      </w:r>
    </w:p>
    <w:p>
      <w:pPr>
        <w:pStyle w:val="ListBullet"/>
        <w:spacing w:after="60"/>
      </w:pPr>
      <w:r>
        <w:rPr>
          <w:sz w:val="21"/>
        </w:rPr>
        <w:t>Opérations carte rapprochées par emitted_at (1-2 j d'écart avec settled_at) · mois vide ou société non française : le skill dit ce qu'il a pu calculer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seule intégrale, aucun trait d'écriture</w:t>
      </w:r>
    </w:p>
    <w:p>
      <w:r>
        <w:rPr>
          <w:b/>
          <w:i w:val="0"/>
          <w:sz w:val="21"/>
        </w:rPr>
        <w:t>🔒 Lecture seule intégrale : ce skill n'appelle aucun outil d'écriture — rien n'est créé, modifié, envoyé ni déplacé. Le rapport propose ; l'utilisateur dispose, dans l'app Qonto ou via les skills dédiés. On peut le lancer sur n'importe quel compte, n'importe quand, sans effet de bord.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🕵️ Les trois détecteurs d'anomalies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Détecteur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317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Preuves fournies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>
              <w:rPr>
                <w:b/>
                <w:sz w:val="19"/>
              </w:rPr>
              <w:t>Dépense inhabituelle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Tiers connu dont le total du mois s'écarte fortement de sa baseline (&gt; 2× la médiane), ou débit isolé hors gabarit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Montant vs médiane historique du tiers, période de référence</w:t>
            </w:r>
          </w:p>
        </w:tc>
      </w:tr>
      <w:tr>
        <w:trPr>
          <w:cantSplit/>
        </w:trPr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Doublon de prélèvement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Même tiers, même montant (±1 %), deux fois ou plus dans le mois, en prélèvement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Les deux dates, les deux montants, l'identité du tiers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  <w:sz w:val="19"/>
              </w:rPr>
              <w:t>Nouveau bénéficiaire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  <w:t>Tiers jamais vu sur les mois précédents recevant un montant sortant significatif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Première apparition datée, montant, absence dans l'historique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scorecard, justificatifs, TVA, anomalies, comparaison, impayés, to-do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Dashboard de clôture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Fichier/artifact HTML : scorecard du mois, jauge de complétude, tuile TVA, cartes anomalies, checklist to-do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Si l'hôte affiche les fichiers ; repli sur tableaux sinon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la corvée de fin de mois → un seul prompt → la revue en direct → le rapport complet qui tombe en une passe (« 96 transactions passées en revue, 3 justificatifs manquants, 1 doublon détecté, TVA du mois : 717 € — voilà ta to-do de 10 minutes ») → le dashboard.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Rapport « prêt pour l'expert-comptable » (export PDF structuré)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contenu existe déjà, il manque la mise en forme cabinet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Mémoire de clôture : scorecards comparés mois après mois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La complétude qui monte = la boîte qui se tient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Détecteur d'abonnements zombies (prélèvement récurrent jamais labellisé, jamais justifié)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Réutilise les baselines des anomalies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Multi-MCP : reçus depuis Google Drive en plus de Gmail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Détection dynamique, même modèle que Gmail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Lecture seule intégrale : aucun outil d'écriture appelé, jamais — le rapport propose, l'utilisateur dispose</w:t>
      </w:r>
    </w:p>
    <w:p>
      <w:pPr>
        <w:pStyle w:val="ListBullet"/>
        <w:spacing w:after="60"/>
      </w:pPr>
      <w:r>
        <w:rPr>
          <w:sz w:val="21"/>
        </w:rPr>
        <w:t>Anomalies = signalements avec preuves, pas des accusations : la baseline qui a déclenché le flag est toujours montrée</w:t>
      </w:r>
    </w:p>
    <w:p>
      <w:pPr>
        <w:pStyle w:val="ListBullet"/>
        <w:spacing w:after="60"/>
      </w:pPr>
      <w:r>
        <w:rPr>
          <w:sz w:val="21"/>
        </w:rPr>
        <w:t>TVA = estimation, pas déclaration — validation expert-comptable recommandée dans chaque rapport</w:t>
      </w:r>
    </w:p>
    <w:p>
      <w:pPr>
        <w:pStyle w:val="ListBullet"/>
        <w:spacing w:after="60"/>
      </w:pPr>
      <w:r>
        <w:rPr>
          <w:sz w:val="21"/>
        </w:rPr>
        <w:t>Dégradation honnête (mois vide, historique court, pays ≠ FR) · IBAN masqués (4 derniers chiffres) · pagination ≤ 50</w:t>
      </w:r>
    </w:p>
    <w:p>
      <w:pPr>
        <w:spacing w:before="360"/>
        <w:jc w:val="center"/>
      </w:pPr>
      <w:r>
        <w:rPr>
          <w:color w:val="5A5670"/>
          <w:sz w:val="17"/>
        </w:rPr>
        <w:t>qonto-monthly-close · Documentation FR (pilotage) · Hackathon Qonto × Anthropic MCP · juillet 2026 · Livrable PR : SKILL.md · Version jury : doc-qonto-monthly-close.en.docx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