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enlo" w:hAnsi="Menlo"/>
          <w:b/>
          <w:color w:val="6B4EFF"/>
          <w:sz w:val="60"/>
        </w:rPr>
        <w:t>qonto-pay-me-now</w:t>
      </w:r>
    </w:p>
    <w:p>
      <w:pPr>
        <w:jc w:val="center"/>
      </w:pPr>
      <w:r>
        <w:rPr>
          <w:b/>
          <w:color w:val="1D1B29"/>
          <w:sz w:val="26"/>
        </w:rPr>
        <w:t>Du devis à l'argent, sans friction — devis accepté, facture, payment link, encaissement</w:t>
      </w:r>
    </w:p>
    <w:p>
      <w:pPr>
        <w:spacing w:after="280"/>
        <w:jc w:val="center"/>
      </w:pPr>
      <w:r>
        <w:rPr>
          <w:color w:val="5A5670"/>
          <w:sz w:val="19"/>
        </w:rPr>
        <w:t>Hackathon Qonto × Anthropic MCP  ·  Skill #11  ·  Payment links vérifiés via MCP le 03/07  ·  Rien ne part sans confirmation</w:t>
      </w:r>
    </w:p>
    <w:p>
      <w:pPr>
        <w:pBdr>
          <w:bottom w:val="single" w:sz="24" w:color="6B4EFF"/>
        </w:pBdr>
        <w:spacing w:after="20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🎯 Le pitch</w:t>
      </w:r>
    </w:p>
    <w:p>
      <w:r>
        <w:rPr>
          <w:b w:val="0"/>
          <w:i w:val="0"/>
          <w:sz w:val="21"/>
        </w:rPr>
        <w:t>Le trou noir du freelance : le devis est accepté… et puis rien. La facture attend, le paiement attend encore plus — chaque jour entre le « oui » et l'argent, c'est de la trésorerie gagnée mais intouchable. Le skill enchaîne tout le cycle dans une seule conversation :</w:t>
      </w:r>
    </w:p>
    <w:p>
      <w:pPr>
        <w:pStyle w:val="ListBullet"/>
        <w:spacing w:after="60"/>
      </w:pPr>
      <w:r>
        <w:rPr>
          <w:sz w:val="21"/>
        </w:rPr>
        <w:t>1. Devis accepté détecté — list_quotes croisé avec list_client_invoices : seuls les devis acceptés jamais facturés remontent, avec client, montant et date</w:t>
      </w:r>
    </w:p>
    <w:p>
      <w:pPr>
        <w:pStyle w:val="ListBullet"/>
        <w:spacing w:after="60"/>
      </w:pPr>
      <w:r>
        <w:rPr>
          <w:sz w:val="21"/>
        </w:rPr>
        <w:t>2. Facture générée depuis le devis — brouillon d'abord, document RÉEL : rien ne part sans confirmation explicite</w:t>
      </w:r>
    </w:p>
    <w:p>
      <w:pPr>
        <w:pStyle w:val="ListBullet"/>
        <w:spacing w:after="60"/>
      </w:pPr>
      <w:r>
        <w:rPr>
          <w:sz w:val="21"/>
        </w:rPr>
        <w:t>3. Payment link Qonto — paiement par carte ou virement en un clic ; lien court trackable Short.io + QR code pour les factures imprimées</w:t>
      </w:r>
    </w:p>
    <w:p>
      <w:pPr>
        <w:pStyle w:val="ListBullet"/>
        <w:spacing w:after="60"/>
      </w:pPr>
      <w:r>
        <w:rPr>
          <w:sz w:val="21"/>
        </w:rPr>
        <w:t>4. Suivi &amp; relance douce — lien cliqué mais impayé après 48 h → relance proposée, jamais envoyée toute seule</w:t>
      </w:r>
    </w:p>
    <w:p>
      <w:r>
        <w:rPr>
          <w:b/>
          <w:i w:val="0"/>
          <w:sz w:val="21"/>
        </w:rPr>
        <w:t>Le cycle de paiement passe de « quand il y pense » à « il clique, il paie ».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📋 Prérequis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Prérequis</w:t>
            </w:r>
          </w:p>
        </w:tc>
        <w:tc>
          <w:tcPr>
            <w:tcW w:type="dxa" w:w="5443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Détail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Obligatoire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Compte Qonto production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Le skill s'adapte à toute organisation — get_organization d'abord, zéro donnée en dur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Pays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Cycle devis → facture → payment link : identique pour tous les pays Qonto (FR, DE, ES, IT, AT, NL, BE, PT). Ton des relances : France au complet ; ailleurs adaptation, jamais de mention légale inventée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Détecté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MCP Qonto connecté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Connecteur officiel (claude.ai / Claude Desktop), login OAuth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Payment links activés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Activation unique dans l'app Qonto. Si create_payment_link refuse, le skill l'explique et continue avec la facture seule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⭕ Recommandé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Devis créés dans Qonto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Le skill part de list_quotes ; sans devis, il sait aussi partir d'une facture impayée existante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⭕ Optionnel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r>
              <w:rPr>
                <w:b/>
                <w:sz w:val="19"/>
              </w:rPr>
              <w:t>MCP Short.io / Gmail</w:t>
            </w:r>
          </w:p>
        </w:tc>
        <w:tc>
          <w:tcPr>
            <w:tcW w:type="dxa" w:w="5443"/>
            <w:shd w:val="clear" w:fill="F1EDFF"/>
          </w:tcPr>
          <w:p>
            <w:r>
              <w:rPr>
                <w:sz w:val="19"/>
              </w:rPr>
              <w:t>Enrichissements optionnels détectés dynamiquement : lien court + stats de clics / envoi. Sans eux : lien Qonto brut + texte à copier</w:t>
            </w:r>
          </w:p>
        </w:tc>
        <w:tc>
          <w:tcPr>
            <w:tcW w:type="dxa" w:w="1814"/>
            <w:shd w:val="clear" w:fill="F1EDFF"/>
          </w:tcPr>
          <w:p>
            <w:r>
              <w:rPr>
                <w:sz w:val="19"/>
              </w:rPr>
              <w:t>⭕ Optionnel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⚙️ Fonctionnement global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71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f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Schéma 1 — Fonctionnement global en 6 étapes (rien ne part sans l'utilisateur)</w:t>
      </w:r>
    </w:p>
    <w:p>
      <w:pPr>
        <w:keepNext/>
        <w:spacing w:before="200" w:after="120"/>
      </w:pPr>
      <w:r>
        <w:rPr>
          <w:b/>
          <w:color w:val="6B4EFF"/>
          <w:sz w:val="25"/>
        </w:rPr>
        <w:t>Robuste sur données sales</w:t>
      </w:r>
    </w:p>
    <w:p>
      <w:pPr>
        <w:pStyle w:val="ListBullet"/>
        <w:spacing w:after="60"/>
      </w:pPr>
      <w:r>
        <w:rPr>
          <w:sz w:val="21"/>
        </w:rPr>
        <w:t>Le différenciateur : la doc MCP officielle liste les payment links comme non supportés — ils FONCTIONNENT (vérifié en production le 03/07). Le skill appelle create_payment_link directement, sans se fier à la doc</w:t>
      </w:r>
    </w:p>
    <w:p>
      <w:pPr>
        <w:pStyle w:val="ListBullet"/>
        <w:spacing w:after="60"/>
      </w:pPr>
      <w:r>
        <w:rPr>
          <w:sz w:val="21"/>
        </w:rPr>
        <w:t>Pas de devis accepté → le skill le dit et propose de partir d'une facture impayée existante ; payment links non activés → activation unique expliquée, cycle poursuivi facture seule</w:t>
      </w:r>
    </w:p>
    <w:p>
      <w:pPr>
        <w:pStyle w:val="ListBullet"/>
        <w:spacing w:after="60"/>
      </w:pPr>
      <w:r>
        <w:rPr>
          <w:sz w:val="21"/>
        </w:rPr>
        <w:t>Short.io ou Gmail absents → lien Qonto brut + texte prêt à copier, annoncé clairement — aucun tracking simulé</w:t>
      </w:r>
    </w:p>
    <w:p>
      <w:pPr>
        <w:pStyle w:val="ListBullet"/>
        <w:spacing w:after="60"/>
      </w:pPr>
      <w:r>
        <w:rPr>
          <w:sz w:val="21"/>
        </w:rPr>
        <w:t>Client payé par virement classique hors lien → rapprochement dans list_transactions (montant ± 0,01, contrepartie, référence) et mark_client_invoice_as_paid proposé avec preuve</w:t>
      </w:r>
    </w:p>
    <w:p>
      <w:pPr>
        <w:pStyle w:val="ListBullet"/>
        <w:spacing w:after="60"/>
      </w:pPr>
      <w:r>
        <w:rPr>
          <w:sz w:val="21"/>
        </w:rPr>
        <w:t>Pagination ≤ 50 partout · numérotation laissée aux réglages de l'organisation · montants toujours repris du devis, jamais inventés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🏗 Schéma fonctionnel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76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.f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Schéma 2 — Acteurs et flux : lectures sans risque, écritures inoffensives (facture en brouillon, payment link, marquage « payée » proposé)</w:t>
      </w:r>
    </w:p>
    <w:p>
      <w:r>
        <w:rPr>
          <w:b/>
          <w:i w:val="0"/>
          <w:sz w:val="21"/>
        </w:rPr>
        <w:t>🔒 Ce skill ne peut pas déplacer d'argent : un payment link est un moyen de RECEVOIR un paiement du client — rien à voir avec un virement sortant (impossible via MCP de toute façon : toute demande de virement exige la SCA de l'utilisateur dans l'app Qonto). Les trois seules écritures : une facture (brouillon d'abord, envoi après OK explicite), un lien de paiement désactivable à tout moment, et le marquage « payée » — toujours proposé, jamais automatique.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📊 La matrice de suivi (J+2)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192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Lien cliqué ?</w:t>
            </w:r>
          </w:p>
        </w:tc>
        <w:tc>
          <w:tcPr>
            <w:tcW w:type="dxa" w:w="215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Paiement reçu ?</w:t>
            </w:r>
          </w:p>
        </w:tc>
        <w:tc>
          <w:tcPr>
            <w:tcW w:type="dxa" w:w="5556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Action proposée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</w:pPr>
            <w:r>
              <w:rPr>
                <w:b/>
                <w:sz w:val="19"/>
              </w:rPr>
              <w:t>❌ Non</w:t>
            </w:r>
          </w:p>
        </w:tc>
        <w:tc>
          <w:tcPr>
            <w:tcW w:type="dxa" w:w="2154"/>
          </w:tcPr>
          <w:p>
            <w:pPr>
              <w:keepNext/>
            </w:pPr>
            <w:r>
              <w:rPr>
                <w:sz w:val="19"/>
              </w:rPr>
              <w:t>❌ Non</w:t>
            </w:r>
          </w:p>
        </w:tc>
        <w:tc>
          <w:tcPr>
            <w:tcW w:type="dxa" w:w="5556"/>
          </w:tcPr>
          <w:p>
            <w:pPr>
              <w:keepNext/>
            </w:pPr>
            <w:r>
              <w:rPr>
                <w:sz w:val="19"/>
              </w:rPr>
              <w:t>Vérifier l'envoi ; proposer de renvoyer le lien par un autre canal</w:t>
            </w:r>
          </w:p>
        </w:tc>
      </w:tr>
      <w:tr>
        <w:trPr>
          <w:cantSplit/>
        </w:trPr>
        <w:tc>
          <w:tcPr>
            <w:tcW w:type="dxa" w:w="192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✅ Oui</w:t>
            </w:r>
          </w:p>
        </w:tc>
        <w:tc>
          <w:tcPr>
            <w:tcW w:type="dxa" w:w="2154"/>
            <w:shd w:val="clear" w:fill="F1EDFF"/>
          </w:tcPr>
          <w:p>
            <w:pPr>
              <w:keepNext/>
            </w:pPr>
            <w:r>
              <w:rPr>
                <w:sz w:val="19"/>
              </w:rPr>
              <w:t>❌ Non (&gt; 48 h)</w:t>
            </w:r>
          </w:p>
        </w:tc>
        <w:tc>
          <w:tcPr>
            <w:tcW w:type="dxa" w:w="5556"/>
            <w:shd w:val="clear" w:fill="F1EDFF"/>
          </w:tcPr>
          <w:p>
            <w:pPr>
              <w:keepNext/>
            </w:pPr>
            <w:r>
              <w:rPr>
                <w:sz w:val="19"/>
              </w:rPr>
              <w:t>Relance douce — « le lien est toujours actif » — rédigée, jamais envoyée seule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</w:pPr>
            <w:r>
              <w:rPr>
                <w:b/>
                <w:sz w:val="19"/>
              </w:rPr>
              <w:t>✅ Oui</w:t>
            </w:r>
          </w:p>
        </w:tc>
        <w:tc>
          <w:tcPr>
            <w:tcW w:type="dxa" w:w="2154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  <w:tc>
          <w:tcPr>
            <w:tcW w:type="dxa" w:w="5556"/>
          </w:tcPr>
          <w:p>
            <w:pPr>
              <w:keepNext/>
            </w:pPr>
            <w:r>
              <w:rPr>
                <w:sz w:val="19"/>
              </w:rPr>
              <w:t>Boucle fermée ✅ — confirmation dans le rapport</w:t>
            </w:r>
          </w:p>
        </w:tc>
      </w:tr>
      <w:tr>
        <w:trPr>
          <w:cantSplit/>
        </w:trPr>
        <w:tc>
          <w:tcPr>
            <w:tcW w:type="dxa" w:w="1928"/>
            <w:shd w:val="clear" w:fill="F1EDFF"/>
          </w:tcPr>
          <w:p>
            <w:r>
              <w:rPr>
                <w:b/>
                <w:sz w:val="19"/>
              </w:rPr>
              <w:t>❌ Non</w:t>
            </w:r>
          </w:p>
        </w:tc>
        <w:tc>
          <w:tcPr>
            <w:tcW w:type="dxa" w:w="2154"/>
            <w:shd w:val="clear" w:fill="F1EDFF"/>
          </w:tcPr>
          <w:p>
            <w:r>
              <w:rPr>
                <w:sz w:val="19"/>
              </w:rPr>
              <w:t>✅ Oui</w:t>
            </w:r>
          </w:p>
        </w:tc>
        <w:tc>
          <w:tcPr>
            <w:tcW w:type="dxa" w:w="5556"/>
            <w:shd w:val="clear" w:fill="F1EDFF"/>
          </w:tcPr>
          <w:p>
            <w:r>
              <w:rPr>
                <w:sz w:val="19"/>
              </w:rPr>
              <w:t>Payé par virement classique hors lien → rapprochement + mark_client_invoice_as_paid proposé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📤 Formats de sortie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Sortie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Quand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Réponse dans la conversation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Tableaux markdown : pipeline devis → facture → lien, matrice de suivi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Toujours — c'est la base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Le payment link (+ lien court)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URL Qonto + URL courte Short.io, prêtes à partager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À chaque cycle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QR code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Fichier/artifact image encodant le lien, pour l'imprimé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Si l'hôte affiche les fichiers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r>
              <w:rPr>
                <w:b/>
                <w:sz w:val="19"/>
              </w:rPr>
              <w:t>Rapport de suivi</w:t>
            </w:r>
          </w:p>
        </w:tc>
        <w:tc>
          <w:tcPr>
            <w:tcW w:type="dxa" w:w="3969"/>
            <w:shd w:val="clear" w:fill="F1EDFF"/>
          </w:tcPr>
          <w:p>
            <w:r>
              <w:rPr>
                <w:sz w:val="19"/>
              </w:rPr>
              <w:t>Clics vs encaissements + relances proposées</w:t>
            </w:r>
          </w:p>
        </w:tc>
        <w:tc>
          <w:tcPr>
            <w:tcW w:type="dxa" w:w="3061"/>
            <w:shd w:val="clear" w:fill="F1EDFF"/>
          </w:tcPr>
          <w:p>
            <w:r>
              <w:rPr>
                <w:sz w:val="19"/>
              </w:rPr>
              <w:t>Sur demande / à J+2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🎬 Vidéo de démo</w:t>
      </w:r>
    </w:p>
    <w:p>
      <w:r>
        <w:rPr>
          <w:b w:val="0"/>
          <w:i w:val="0"/>
          <w:sz w:val="21"/>
        </w:rPr>
        <w:t>La démo ≤ 3 min jointe à la PR suit le storyboard : le trou noir → détection &amp; facture → payment link + lien court → le QR scanné au téléphone, la page de paiement Qonto qui s'affiche → suivi &amp; relance. Tournée en live sur un compte de production réel. (script de tournage interne, hors dépôt)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💡 Améliorations possibles (dans les clous du hackathon)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476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Idée</w:t>
            </w:r>
          </w:p>
        </w:tc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Acompte à la signature : payment link partiel (30 %) dès l'acceptation du devis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Moyen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Le même cycle, encore plus tôt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Rappel J+2 dans le calendrier (MCP calendrier détecté dynamiquement)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Faible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Multi-MCP optionnel, dans l'esprit du kickoff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Messages client multilingues (langue du client détectée)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Faible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Qonto est paneuropéen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Tableau de bord encaissements : taux clic → paiement par client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Moyen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Réutilise link-statistics + list_transactions</w:t>
            </w:r>
          </w:p>
        </w:tc>
      </w:tr>
      <w:tr>
        <w:trPr>
          <w:cantSplit/>
        </w:trPr>
        <w:tc>
          <w:tcPr>
            <w:tcW w:type="dxa" w:w="4762"/>
          </w:tcPr>
          <w:p>
            <w:r>
              <w:rPr>
                <w:b/>
                <w:sz w:val="19"/>
              </w:rPr>
              <w:t>Mentions légales locales par pays (DE · ES · IT…)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Moyen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v1 = cycle identique partout, v2 = wording local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🛡 Garde-fous</w:t>
      </w:r>
    </w:p>
    <w:p>
      <w:pPr>
        <w:pStyle w:val="ListBullet"/>
        <w:spacing w:after="60"/>
      </w:pPr>
      <w:r>
        <w:rPr>
          <w:sz w:val="21"/>
        </w:rPr>
        <w:t>Factures via MCP = RÉELLES : brouillon d'abord, envoi seulement après confirmation explicite ; répétitions sur un client fictif + delete_client_invoice ensuite</w:t>
      </w:r>
    </w:p>
    <w:p>
      <w:pPr>
        <w:pStyle w:val="ListBullet"/>
        <w:spacing w:after="60"/>
      </w:pPr>
      <w:r>
        <w:rPr>
          <w:sz w:val="21"/>
        </w:rPr>
        <w:t>Aucun paiement sortant : le payment link reçoit, il ne débite jamais — zéro rapport avec les virements sortants (SCA obligatoire dans l'app, hors MCP)</w:t>
      </w:r>
    </w:p>
    <w:p>
      <w:pPr>
        <w:pStyle w:val="ListBullet"/>
        <w:spacing w:after="60"/>
      </w:pPr>
      <w:r>
        <w:rPr>
          <w:sz w:val="21"/>
        </w:rPr>
        <w:t>Rien n'est envoyé (facture, mail, relance) sans confirmation dans la conversation en cours ; jamais présenté comme envoyé/payé si en attente</w:t>
      </w:r>
    </w:p>
    <w:p>
      <w:pPr>
        <w:pStyle w:val="ListBullet"/>
        <w:spacing w:after="60"/>
      </w:pPr>
      <w:r>
        <w:rPr>
          <w:sz w:val="21"/>
        </w:rPr>
        <w:t>Montants repris du devis ou de la facture, jamais inventés · IBAN masqués (4 derniers chiffres) · pagination ≤ 50 partout</w:t>
      </w:r>
    </w:p>
    <w:p>
      <w:pPr>
        <w:spacing w:before="360"/>
        <w:jc w:val="center"/>
      </w:pPr>
      <w:r>
        <w:rPr>
          <w:color w:val="5A5670"/>
          <w:sz w:val="17"/>
        </w:rPr>
        <w:t>qonto-pay-me-now · Documentation FR (pilotage) · Hackathon Qonto × Anthropic MCP · juillet 2026 · Livrable PR : SKILL.md · Version jury : doc-qonto-pay-me-now.en.docx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lvetica Neue" w:hAnsi="Helvetica Neue"/>
      <w:color w:val="1D1B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