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qonto-tax-pilot</w:t>
      </w:r>
    </w:p>
    <w:p>
      <w:pPr>
        <w:jc w:val="center"/>
      </w:pPr>
      <w:r>
        <w:rPr>
          <w:b/>
          <w:color w:val="1D1B29"/>
          <w:sz w:val="26"/>
        </w:rPr>
        <w:t>Prédire le fisc, puis mettre l'argent à l'abri — le copilote fiscal du compte Qonto</w:t>
      </w:r>
    </w:p>
    <w:p>
      <w:pPr>
        <w:spacing w:after="280"/>
        <w:jc w:val="center"/>
      </w:pPr>
      <w:r>
        <w:rPr>
          <w:color w:val="5A5670"/>
          <w:sz w:val="19"/>
        </w:rPr>
        <w:t>Hackathon Qonto × Anthropic MCP  ·  Skill #1  ·  Validé sur données réelles le 04/07  ·  1 seule écriture, sous SCA</w:t>
      </w:r>
    </w:p>
    <w:p>
      <w:pPr>
        <w:pBdr>
          <w:bottom w:val="single" w:sz="24" w:color="6B4EFF"/>
        </w:pBdr>
        <w:spacing w:after="200"/>
      </w:pPr>
    </w:p>
    <w:p>
      <w:pPr>
        <w:keepNext/>
        <w:spacing w:before="320" w:after="120"/>
      </w:pPr>
      <w:r>
        <w:rPr>
          <w:b/>
          <w:color w:val="4A30D9"/>
          <w:sz w:val="32"/>
        </w:rPr>
        <w:t>🎯 Le pitch</w:t>
      </w:r>
    </w:p>
    <w:p>
      <w:r>
        <w:rPr>
          <w:b w:val="0"/>
          <w:i w:val="0"/>
          <w:sz w:val="21"/>
        </w:rPr>
        <w:t>La première cause de mort des TPE, ce n'est pas le manque de chiffre d'affaires — c'est la TVA déjà dépensée quand l'avis arrive. Le skill transforme le compte Qonto en copilote fiscal :</w:t>
      </w:r>
    </w:p>
    <w:p>
      <w:pPr>
        <w:pStyle w:val="ListBullet"/>
        <w:spacing w:after="60"/>
      </w:pPr>
      <w:r>
        <w:rPr>
          <w:sz w:val="21"/>
        </w:rPr>
        <w:t>1. Échéancier fiscal chiffré — quand tombe chaque impôt et combien (TVA, acomptes &amp; solde IS, CFE, PFU), chaque ligne avec un tag de confiance 🟢 vu dans l'historique · 🟡 estimé · 🔵 conditionnel</w:t>
      </w:r>
    </w:p>
    <w:p>
      <w:pPr>
        <w:pStyle w:val="ListBullet"/>
        <w:spacing w:after="60"/>
      </w:pPr>
      <w:r>
        <w:rPr>
          <w:sz w:val="21"/>
        </w:rPr>
        <w:t>2. Projection de trésorerie 90 jours par compte — point bas daté, seuils, simulations « et si »</w:t>
      </w:r>
    </w:p>
    <w:p>
      <w:pPr>
        <w:pStyle w:val="ListBullet"/>
        <w:spacing w:after="60"/>
      </w:pPr>
      <w:r>
        <w:rPr>
          <w:sz w:val="21"/>
        </w:rPr>
        <w:t>3. Provision mensuelle — TVA nette du mois (sur encaissements si c'est le régime détecté) + IS/12 + CFE/12</w:t>
      </w:r>
    </w:p>
    <w:p>
      <w:pPr>
        <w:pStyle w:val="ListBullet"/>
        <w:spacing w:after="60"/>
      </w:pPr>
      <w:r>
        <w:rPr>
          <w:sz w:val="21"/>
        </w:rPr>
        <w:t>4. Action sécurisée — demande de virement vers le sous-compte impôts ; l'argent ne bouge qu'après l'approbation SCA dans l'app Qonto</w:t>
      </w:r>
    </w:p>
    <w:p>
      <w:pPr>
        <w:keepNext/>
        <w:spacing w:before="320" w:after="120"/>
      </w:pPr>
      <w:r>
        <w:rPr>
          <w:b/>
          <w:color w:val="4A30D9"/>
          <w:sz w:val="32"/>
        </w:rPr>
        <w:t>📋 Prérequis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Prérequis</w:t>
            </w:r>
          </w:p>
        </w:tc>
        <w:tc>
          <w:tcPr>
            <w:tcW w:type="dxa" w:w="5443"/>
            <w:shd w:val="clear" w:fill="6B4EFF"/>
          </w:tcPr>
          <w:p>
            <w:pPr>
              <w:keepNext/>
            </w:pPr>
            <w:r>
              <w:rPr>
                <w:b/>
                <w:color w:val="FFFFFF"/>
                <w:sz w:val="19"/>
              </w:rPr>
              <w:t>Détail</w:t>
            </w:r>
          </w:p>
        </w:tc>
        <w:tc>
          <w:tcPr>
            <w:tcW w:type="dxa" w:w="1814"/>
            <w:shd w:val="clear" w:fill="6B4EFF"/>
          </w:tcPr>
          <w:p>
            <w:pPr>
              <w:keepNext/>
            </w:pPr>
            <w:r>
              <w:rPr>
                <w:b/>
                <w:color w:val="FFFFFF"/>
                <w:sz w:val="19"/>
              </w:rPr>
              <w:t>Obligatoire</w:t>
            </w:r>
          </w:p>
        </w:tc>
      </w:tr>
      <w:tr>
        <w:trPr>
          <w:cantSplit/>
        </w:trPr>
        <w:tc>
          <w:tcPr>
            <w:tcW w:type="dxa" w:w="2381"/>
          </w:tcPr>
          <w:p>
            <w:pPr>
              <w:keepNext/>
            </w:pPr>
            <w:r>
              <w:rPr>
                <w:b/>
                <w:sz w:val="19"/>
              </w:rPr>
              <w:t>Compte Qonto production</w:t>
            </w:r>
          </w:p>
        </w:tc>
        <w:tc>
          <w:tcPr>
            <w:tcW w:type="dxa" w:w="5443"/>
          </w:tcPr>
          <w:p>
            <w:pPr>
              <w:keepNext/>
            </w:pPr>
            <w:r>
              <w:rPr>
                <w:sz w:val="19"/>
              </w:rPr>
              <w:t>Le skill s'adapte à toute organisation — get_organization d'abord, zéro donnée en dur</w:t>
            </w:r>
          </w:p>
        </w:tc>
        <w:tc>
          <w:tcPr>
            <w:tcW w:type="dxa" w:w="1814"/>
          </w:tcPr>
          <w:p>
            <w:pPr>
              <w:keepNext/>
            </w:pPr>
            <w:r>
              <w:rPr>
                <w:sz w:val="19"/>
              </w:rPr>
              <w:t>✅ Oui</w:t>
            </w:r>
          </w:p>
        </w:tc>
      </w:tr>
      <w:tr>
        <w:trPr>
          <w:cantSplit/>
        </w:trPr>
        <w:tc>
          <w:tcPr>
            <w:tcW w:type="dxa" w:w="2381"/>
            <w:shd w:val="clear" w:fill="F1EDFF"/>
          </w:tcPr>
          <w:p>
            <w:pPr>
              <w:keepNext/>
            </w:pPr>
            <w:r>
              <w:rPr>
                <w:b/>
                <w:sz w:val="19"/>
              </w:rPr>
              <w:t>Pays</w:t>
            </w:r>
          </w:p>
        </w:tc>
        <w:tc>
          <w:tcPr>
            <w:tcW w:type="dxa" w:w="5443"/>
            <w:shd w:val="clear" w:fill="F1EDFF"/>
          </w:tcPr>
          <w:p>
            <w:pPr>
              <w:keepNext/>
            </w:pPr>
            <w:r>
              <w:rPr>
                <w:sz w:val="19"/>
              </w:rPr>
              <w:t>Calendrier fiscal complet : France. Autres pays Qonto (DE, ES, IT…) : dégradation propre — projection + provision TVA génériques, jamais d'échéance inventée</w:t>
            </w:r>
          </w:p>
        </w:tc>
        <w:tc>
          <w:tcPr>
            <w:tcW w:type="dxa" w:w="1814"/>
            <w:shd w:val="clear" w:fill="F1EDFF"/>
          </w:tcPr>
          <w:p>
            <w:pPr>
              <w:keepNext/>
            </w:pPr>
            <w:r>
              <w:rPr>
                <w:sz w:val="19"/>
              </w:rPr>
              <w:t>ℹ️ Détecté</w:t>
            </w:r>
          </w:p>
        </w:tc>
      </w:tr>
      <w:tr>
        <w:trPr>
          <w:cantSplit/>
        </w:trPr>
        <w:tc>
          <w:tcPr>
            <w:tcW w:type="dxa" w:w="2381"/>
          </w:tcPr>
          <w:p>
            <w:pPr>
              <w:keepNext/>
            </w:pPr>
            <w:r>
              <w:rPr>
                <w:b/>
                <w:sz w:val="19"/>
              </w:rPr>
              <w:t>MCP Qonto connecté</w:t>
            </w:r>
          </w:p>
        </w:tc>
        <w:tc>
          <w:tcPr>
            <w:tcW w:type="dxa" w:w="5443"/>
          </w:tcPr>
          <w:p>
            <w:pPr>
              <w:keepNext/>
            </w:pPr>
            <w:r>
              <w:rPr>
                <w:sz w:val="19"/>
              </w:rPr>
              <w:t>Connecteur officiel (claude.ai / Claude Desktop), login OAuth</w:t>
            </w:r>
          </w:p>
        </w:tc>
        <w:tc>
          <w:tcPr>
            <w:tcW w:type="dxa" w:w="1814"/>
          </w:tcPr>
          <w:p>
            <w:pPr>
              <w:keepNext/>
            </w:pPr>
            <w:r>
              <w:rPr>
                <w:sz w:val="19"/>
              </w:rPr>
              <w:t>✅ Oui</w:t>
            </w:r>
          </w:p>
        </w:tc>
      </w:tr>
      <w:tr>
        <w:trPr>
          <w:cantSplit/>
        </w:trPr>
        <w:tc>
          <w:tcPr>
            <w:tcW w:type="dxa" w:w="2381"/>
            <w:shd w:val="clear" w:fill="F1EDFF"/>
          </w:tcPr>
          <w:p>
            <w:pPr>
              <w:keepNext/>
            </w:pPr>
            <w:r>
              <w:rPr>
                <w:b/>
                <w:sz w:val="19"/>
              </w:rPr>
              <w:t>Sous-compte « impôts »</w:t>
            </w:r>
          </w:p>
        </w:tc>
        <w:tc>
          <w:tcPr>
            <w:tcW w:type="dxa" w:w="5443"/>
            <w:shd w:val="clear" w:fill="F1EDFF"/>
          </w:tcPr>
          <w:p>
            <w:pPr>
              <w:keepNext/>
            </w:pPr>
            <w:r>
              <w:rPr>
                <w:sz w:val="19"/>
              </w:rPr>
              <w:t>Créé une fois dans l'app Qonto (le MCP ne sait pas créer de compte). Détecté par son nom : taxe / tax / impôt / TVA</w:t>
            </w:r>
          </w:p>
        </w:tc>
        <w:tc>
          <w:tcPr>
            <w:tcW w:type="dxa" w:w="1814"/>
            <w:shd w:val="clear" w:fill="F1EDFF"/>
          </w:tcPr>
          <w:p>
            <w:pPr>
              <w:keepNext/>
            </w:pPr>
            <w:r>
              <w:rPr>
                <w:sz w:val="19"/>
              </w:rPr>
              <w:t>⭕ Recommandé</w:t>
            </w:r>
          </w:p>
        </w:tc>
      </w:tr>
      <w:tr>
        <w:trPr>
          <w:cantSplit/>
        </w:trPr>
        <w:tc>
          <w:tcPr>
            <w:tcW w:type="dxa" w:w="2381"/>
          </w:tcPr>
          <w:p>
            <w:pPr>
              <w:keepNext/>
            </w:pPr>
            <w:r>
              <w:rPr>
                <w:b/>
                <w:sz w:val="19"/>
              </w:rPr>
              <w:t>Historique ≥ 6 mois</w:t>
            </w:r>
          </w:p>
        </w:tc>
        <w:tc>
          <w:tcPr>
            <w:tcW w:type="dxa" w:w="5443"/>
          </w:tcPr>
          <w:p>
            <w:pPr>
              <w:keepNext/>
            </w:pPr>
            <w:r>
              <w:rPr>
                <w:sz w:val="19"/>
              </w:rPr>
              <w:t>En dessous : dégradation honnête (tags 🟡 + avertissement)</w:t>
            </w:r>
          </w:p>
        </w:tc>
        <w:tc>
          <w:tcPr>
            <w:tcW w:type="dxa" w:w="1814"/>
          </w:tcPr>
          <w:p>
            <w:pPr>
              <w:keepNext/>
            </w:pPr>
            <w:r>
              <w:rPr>
                <w:sz w:val="19"/>
              </w:rPr>
              <w:t>⭕ Optionnel</w:t>
            </w:r>
          </w:p>
        </w:tc>
      </w:tr>
      <w:tr>
        <w:trPr>
          <w:cantSplit/>
        </w:trPr>
        <w:tc>
          <w:tcPr>
            <w:tcW w:type="dxa" w:w="2381"/>
            <w:shd w:val="clear" w:fill="F1EDFF"/>
          </w:tcPr>
          <w:p>
            <w:r>
              <w:rPr>
                <w:b/>
                <w:sz w:val="19"/>
              </w:rPr>
              <w:t>Société française à l'IS</w:t>
            </w:r>
          </w:p>
        </w:tc>
        <w:tc>
          <w:tcPr>
            <w:tcW w:type="dxa" w:w="5443"/>
            <w:shd w:val="clear" w:fill="F1EDFF"/>
          </w:tcPr>
          <w:p>
            <w:r>
              <w:rPr>
                <w:sz w:val="19"/>
              </w:rPr>
              <w:t>Hypothèse par défaut ; discours adapté sinon</w:t>
            </w:r>
          </w:p>
        </w:tc>
        <w:tc>
          <w:tcPr>
            <w:tcW w:type="dxa" w:w="1814"/>
            <w:shd w:val="clear" w:fill="F1EDFF"/>
          </w:tcPr>
          <w:p>
            <w:r>
              <w:rPr>
                <w:sz w:val="19"/>
              </w:rPr>
              <w:t>⭕ Optionnel</w:t>
            </w:r>
          </w:p>
        </w:tc>
      </w:tr>
    </w:tbl>
    <w:p>
      <w:pPr>
        <w:spacing w:after="40"/>
      </w:pPr>
    </w:p>
    <w:p>
      <w:pPr>
        <w:keepNext/>
        <w:spacing w:before="320" w:after="120"/>
      </w:pPr>
      <w:r>
        <w:rPr>
          <w:b/>
          <w:color w:val="4A30D9"/>
          <w:sz w:val="32"/>
        </w:rPr>
        <w:t>⚙️ Fonctionnement global</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fr.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Schéma 1 — Fonctionnement global en 6 étapes (1 seule écriture, sous SCA)</w:t>
      </w:r>
    </w:p>
    <w:p>
      <w:pPr>
        <w:keepNext/>
        <w:spacing w:before="200" w:after="120"/>
      </w:pPr>
      <w:r>
        <w:rPr>
          <w:b/>
          <w:color w:val="6B4EFF"/>
          <w:sz w:val="25"/>
        </w:rPr>
        <w:t>Robuste sur données sales</w:t>
      </w:r>
    </w:p>
    <w:p>
      <w:pPr>
        <w:pStyle w:val="ListBullet"/>
        <w:spacing w:after="60"/>
      </w:pPr>
      <w:r>
        <w:rPr>
          <w:sz w:val="21"/>
        </w:rPr>
        <w:t>Régime ET périodicité de TVA détectés, jamais demandés : débits DGFIP mensuels → CA3 mensuelle ; trimestriels → CA3 trimestrielle (TVA annuelle &lt; 4 000 €) ; acomptes juillet + décembre → simplifié CA12, SUPPRIMÉ au 01/01/2027 (LF 2025, bascule annoncée) ; « on_receipts » → la TVA suit les paiements reçus, pas les factures émises</w:t>
      </w:r>
    </w:p>
    <w:p>
      <w:pPr>
        <w:pStyle w:val="ListBullet"/>
        <w:spacing w:after="60"/>
      </w:pPr>
      <w:r>
        <w:rPr>
          <w:sz w:val="21"/>
        </w:rPr>
        <w:t>Analyse pluriannuelle : jusqu'à 36 mois, au moins les 2 exercices précédents — les cadences fiscales ne se voient que sur des années pleines</w:t>
      </w:r>
    </w:p>
    <w:p>
      <w:pPr>
        <w:pStyle w:val="ListBullet"/>
        <w:spacing w:after="60"/>
      </w:pPr>
      <w:r>
        <w:rPr>
          <w:sz w:val="21"/>
        </w:rPr>
        <w:t>TVA déductible = somme des vat_amount, annoncée comme plancher avec le nombre de débits non renseignés</w:t>
      </w:r>
    </w:p>
    <w:p>
      <w:pPr>
        <w:pStyle w:val="ListBullet"/>
        <w:spacing w:after="60"/>
      </w:pPr>
      <w:r>
        <w:rPr>
          <w:sz w:val="21"/>
        </w:rPr>
        <w:t>Compte vide, pas de sous-compte, société étrangère : le skill explique ce qu'il peut et ne peut pas estimer</w:t>
      </w:r>
    </w:p>
    <w:p>
      <w:pPr>
        <w:pStyle w:val="ListBullet"/>
        <w:spacing w:after="60"/>
      </w:pPr>
      <w:r>
        <w:rPr>
          <w:sz w:val="21"/>
        </w:rPr>
        <w:t>Pagination ≤ 50 partout · délais carte (emitted_at vs settled_at) · avoirs déduits de la collecte</w:t>
      </w:r>
    </w:p>
    <w:p>
      <w:r>
        <w:br w:type="page"/>
      </w:r>
    </w:p>
    <w:p>
      <w:pPr>
        <w:keepNext/>
        <w:spacing w:before="320" w:after="120"/>
      </w:pPr>
      <w:r>
        <w:rPr>
          <w:b/>
          <w:color w:val="4A30D9"/>
          <w:sz w:val="32"/>
        </w:rPr>
        <w:t>🏗 Schéma fonctionnel</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fr.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Schéma 2 — Acteurs et flux : lecture sans risque (plein), écriture sous consentement + SCA (pointillé)</w:t>
      </w:r>
    </w:p>
    <w:p>
      <w:r>
        <w:rPr>
          <w:b/>
          <w:i w:val="0"/>
          <w:sz w:val="21"/>
        </w:rPr>
        <w:t>🔒 Le modèle de sécurité, pas une limitation : la lecture est sans risque ; l'écriture exige le consentement explicite dans la conversation et ne produit qu'une demande. Seule la SCA (2FA) du titulaire, dans l'app Qonto, déplace l'argent. Ni Claude ni le MCP ne le peuvent.</w:t>
      </w:r>
    </w:p>
    <w:p>
      <w:pPr>
        <w:keepNext/>
        <w:spacing w:before="320" w:after="120"/>
      </w:pPr>
      <w:r>
        <w:rPr>
          <w:b/>
          <w:color w:val="4A30D9"/>
          <w:sz w:val="32"/>
        </w:rPr>
        <w:t>📅 Échéancier fiscal de référence (société à l'IS, clôture 31/12)</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948"/>
            <w:shd w:val="clear" w:fill="6B4EFF"/>
          </w:tcPr>
          <w:p>
            <w:pPr>
              <w:keepNext/>
            </w:pPr>
            <w:r>
              <w:rPr>
                <w:b/>
                <w:color w:val="FFFFFF"/>
                <w:sz w:val="19"/>
              </w:rPr>
              <w:t>Échéance</w:t>
            </w:r>
          </w:p>
        </w:tc>
        <w:tc>
          <w:tcPr>
            <w:tcW w:type="dxa" w:w="2608"/>
            <w:shd w:val="clear" w:fill="6B4EFF"/>
          </w:tcPr>
          <w:p>
            <w:pPr>
              <w:keepNext/>
            </w:pPr>
            <w:r>
              <w:rPr>
                <w:b/>
                <w:color w:val="FFFFFF"/>
                <w:sz w:val="19"/>
              </w:rPr>
              <w:t>Impôt</w:t>
            </w:r>
          </w:p>
        </w:tc>
        <w:tc>
          <w:tcPr>
            <w:tcW w:type="dxa" w:w="4082"/>
            <w:shd w:val="clear" w:fill="6B4EFF"/>
          </w:tcPr>
          <w:p>
            <w:pPr>
              <w:keepNext/>
            </w:pPr>
            <w:r>
              <w:rPr>
                <w:b/>
                <w:color w:val="FFFFFF"/>
                <w:sz w:val="19"/>
              </w:rPr>
              <w:t>Estimation</w:t>
            </w:r>
          </w:p>
        </w:tc>
      </w:tr>
      <w:tr>
        <w:trPr>
          <w:cantSplit/>
        </w:trPr>
        <w:tc>
          <w:tcPr>
            <w:tcW w:type="dxa" w:w="2948"/>
          </w:tcPr>
          <w:p>
            <w:pPr>
              <w:keepNext/>
            </w:pPr>
            <w:r>
              <w:rPr>
                <w:b/>
                <w:sz w:val="19"/>
              </w:rPr>
              <w:t>Mensuelle ou trimestrielle ~15-24 (réel normal ; trim. si TVA annuelle &lt; 4 000 €)</w:t>
            </w:r>
          </w:p>
        </w:tc>
        <w:tc>
          <w:tcPr>
            <w:tcW w:type="dxa" w:w="2608"/>
          </w:tcPr>
          <w:p>
            <w:pPr>
              <w:keepNext/>
            </w:pPr>
            <w:r>
              <w:rPr>
                <w:sz w:val="19"/>
              </w:rPr>
              <w:t>TVA CA3</w:t>
            </w:r>
          </w:p>
        </w:tc>
        <w:tc>
          <w:tcPr>
            <w:tcW w:type="dxa" w:w="4082"/>
          </w:tcPr>
          <w:p>
            <w:pPr>
              <w:keepNext/>
            </w:pPr>
            <w:r>
              <w:rPr>
                <w:sz w:val="19"/>
              </w:rPr>
              <w:t>Médiane des paiements récents, affinée par collectée − déductible</w:t>
            </w:r>
          </w:p>
        </w:tc>
      </w:tr>
      <w:tr>
        <w:trPr>
          <w:cantSplit/>
        </w:trPr>
        <w:tc>
          <w:tcPr>
            <w:tcW w:type="dxa" w:w="2948"/>
            <w:shd w:val="clear" w:fill="F1EDFF"/>
          </w:tcPr>
          <w:p>
            <w:pPr>
              <w:keepNext/>
            </w:pPr>
            <w:r>
              <w:rPr>
                <w:b/>
                <w:sz w:val="19"/>
              </w:rPr>
              <w:t>Juillet 55 % + décembre 40 %</w:t>
            </w:r>
          </w:p>
        </w:tc>
        <w:tc>
          <w:tcPr>
            <w:tcW w:type="dxa" w:w="2608"/>
            <w:shd w:val="clear" w:fill="F1EDFF"/>
          </w:tcPr>
          <w:p>
            <w:pPr>
              <w:keepNext/>
            </w:pPr>
            <w:r>
              <w:rPr>
                <w:sz w:val="19"/>
              </w:rPr>
              <w:t>Acomptes TVA (simplifié — supprimé au 01/01/2027)</w:t>
            </w:r>
          </w:p>
        </w:tc>
        <w:tc>
          <w:tcPr>
            <w:tcW w:type="dxa" w:w="4082"/>
            <w:shd w:val="clear" w:fill="F1EDFF"/>
          </w:tcPr>
          <w:p>
            <w:pPr>
              <w:keepNext/>
            </w:pPr>
            <w:r>
              <w:rPr>
                <w:sz w:val="19"/>
              </w:rPr>
              <w:t>Dernière CA12 / historique</w:t>
            </w:r>
          </w:p>
        </w:tc>
      </w:tr>
      <w:tr>
        <w:trPr>
          <w:cantSplit/>
        </w:trPr>
        <w:tc>
          <w:tcPr>
            <w:tcW w:type="dxa" w:w="2948"/>
          </w:tcPr>
          <w:p>
            <w:pPr>
              <w:keepNext/>
            </w:pPr>
            <w:r>
              <w:rPr>
                <w:b/>
                <w:sz w:val="19"/>
              </w:rPr>
              <w:t>15/03 · 15/06 · 15/09 · 15/12</w:t>
            </w:r>
          </w:p>
        </w:tc>
        <w:tc>
          <w:tcPr>
            <w:tcW w:type="dxa" w:w="2608"/>
          </w:tcPr>
          <w:p>
            <w:pPr>
              <w:keepNext/>
            </w:pPr>
            <w:r>
              <w:rPr>
                <w:sz w:val="19"/>
              </w:rPr>
              <w:t>Acomptes IS (2571)</w:t>
            </w:r>
          </w:p>
        </w:tc>
        <w:tc>
          <w:tcPr>
            <w:tcW w:type="dxa" w:w="4082"/>
          </w:tcPr>
          <w:p>
            <w:pPr>
              <w:keepNext/>
            </w:pPr>
            <w:r>
              <w:rPr>
                <w:sz w:val="19"/>
              </w:rPr>
              <w:t>Acomptes passés, sinon IS N-1 ÷ 4 — aucun si IS N-1 &lt; 3 000 €</w:t>
            </w:r>
          </w:p>
        </w:tc>
      </w:tr>
      <w:tr>
        <w:trPr>
          <w:cantSplit/>
        </w:trPr>
        <w:tc>
          <w:tcPr>
            <w:tcW w:type="dxa" w:w="2948"/>
            <w:shd w:val="clear" w:fill="F1EDFF"/>
          </w:tcPr>
          <w:p>
            <w:pPr>
              <w:keepNext/>
            </w:pPr>
            <w:r>
              <w:rPr>
                <w:b/>
                <w:sz w:val="19"/>
              </w:rPr>
              <w:t>15/05</w:t>
            </w:r>
          </w:p>
        </w:tc>
        <w:tc>
          <w:tcPr>
            <w:tcW w:type="dxa" w:w="2608"/>
            <w:shd w:val="clear" w:fill="F1EDFF"/>
          </w:tcPr>
          <w:p>
            <w:pPr>
              <w:keepNext/>
            </w:pPr>
            <w:r>
              <w:rPr>
                <w:sz w:val="19"/>
              </w:rPr>
              <w:t>Solde IS (2572)</w:t>
            </w:r>
          </w:p>
        </w:tc>
        <w:tc>
          <w:tcPr>
            <w:tcW w:type="dxa" w:w="4082"/>
            <w:shd w:val="clear" w:fill="F1EDFF"/>
          </w:tcPr>
          <w:p>
            <w:pPr>
              <w:keepNext/>
            </w:pPr>
            <w:r>
              <w:rPr>
                <w:sz w:val="19"/>
              </w:rPr>
              <w:t>IS N-1 estimé − acomptes</w:t>
            </w:r>
          </w:p>
        </w:tc>
      </w:tr>
      <w:tr>
        <w:trPr>
          <w:cantSplit/>
        </w:trPr>
        <w:tc>
          <w:tcPr>
            <w:tcW w:type="dxa" w:w="2948"/>
          </w:tcPr>
          <w:p>
            <w:pPr>
              <w:keepNext/>
            </w:pPr>
            <w:r>
              <w:rPr>
                <w:b/>
                <w:sz w:val="19"/>
              </w:rPr>
              <w:t>15/06 (si ≥ 3 000 €) + 15/12</w:t>
            </w:r>
          </w:p>
        </w:tc>
        <w:tc>
          <w:tcPr>
            <w:tcW w:type="dxa" w:w="2608"/>
          </w:tcPr>
          <w:p>
            <w:pPr>
              <w:keepNext/>
            </w:pPr>
            <w:r>
              <w:rPr>
                <w:sz w:val="19"/>
              </w:rPr>
              <w:t>CFE</w:t>
            </w:r>
          </w:p>
        </w:tc>
        <w:tc>
          <w:tcPr>
            <w:tcW w:type="dxa" w:w="4082"/>
          </w:tcPr>
          <w:p>
            <w:pPr>
              <w:keepNext/>
            </w:pPr>
            <w:r>
              <w:rPr>
                <w:sz w:val="19"/>
              </w:rPr>
              <w:t>Paiement de l'an dernier</w:t>
            </w:r>
          </w:p>
        </w:tc>
      </w:tr>
      <w:tr>
        <w:trPr>
          <w:cantSplit/>
        </w:trPr>
        <w:tc>
          <w:tcPr>
            <w:tcW w:type="dxa" w:w="2948"/>
            <w:shd w:val="clear" w:fill="F1EDFF"/>
          </w:tcPr>
          <w:p>
            <w:r>
              <w:rPr>
                <w:b/>
                <w:sz w:val="19"/>
              </w:rPr>
              <w:t>Le 15 du mois suivant</w:t>
            </w:r>
          </w:p>
        </w:tc>
        <w:tc>
          <w:tcPr>
            <w:tcW w:type="dxa" w:w="2608"/>
            <w:shd w:val="clear" w:fill="F1EDFF"/>
          </w:tcPr>
          <w:p>
            <w:r>
              <w:rPr>
                <w:sz w:val="19"/>
              </w:rPr>
              <w:t>Dividendes — le skill demande qui est l'actionnaire</w:t>
            </w:r>
          </w:p>
        </w:tc>
        <w:tc>
          <w:tcPr>
            <w:tcW w:type="dxa" w:w="4082"/>
            <w:shd w:val="clear" w:fill="F1EDFF"/>
          </w:tcPr>
          <w:p>
            <w:r>
              <w:rPr>
                <w:sz w:val="19"/>
              </w:rPr>
              <w:t>Personne physique → PFU 30 % (2777) à provisionner · Holding (mère-fille) → pas de PFU, quote-part 5 % chez la holding — quasi rien ici. Jamais supposé</w:t>
            </w:r>
          </w:p>
        </w:tc>
      </w:tr>
    </w:tbl>
    <w:p>
      <w:pPr>
        <w:spacing w:after="40"/>
      </w:pPr>
    </w:p>
    <w:p>
      <w:pPr>
        <w:keepNext/>
        <w:spacing w:before="320" w:after="120"/>
      </w:pPr>
      <w:r>
        <w:rPr>
          <w:b/>
          <w:color w:val="4A30D9"/>
          <w:sz w:val="32"/>
        </w:rPr>
        <w:t>📤 Formats de sortie</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Sortie</w:t>
            </w:r>
          </w:p>
        </w:tc>
        <w:tc>
          <w:tcPr>
            <w:tcW w:type="dxa" w:w="3969"/>
            <w:shd w:val="clear" w:fill="6B4EFF"/>
          </w:tcPr>
          <w:p>
            <w:pPr>
              <w:keepNext/>
            </w:pPr>
            <w:r>
              <w:rPr>
                <w:b/>
                <w:color w:val="FFFFFF"/>
                <w:sz w:val="19"/>
              </w:rPr>
              <w:t>Format</w:t>
            </w:r>
          </w:p>
        </w:tc>
        <w:tc>
          <w:tcPr>
            <w:tcW w:type="dxa" w:w="3061"/>
            <w:shd w:val="clear" w:fill="6B4EFF"/>
          </w:tcPr>
          <w:p>
            <w:pPr>
              <w:keepNext/>
            </w:pPr>
            <w:r>
              <w:rPr>
                <w:b/>
                <w:color w:val="FFFFFF"/>
                <w:sz w:val="19"/>
              </w:rPr>
              <w:t>Quand</w:t>
            </w:r>
          </w:p>
        </w:tc>
      </w:tr>
      <w:tr>
        <w:trPr>
          <w:cantSplit/>
        </w:trPr>
        <w:tc>
          <w:tcPr>
            <w:tcW w:type="dxa" w:w="2608"/>
          </w:tcPr>
          <w:p>
            <w:pPr>
              <w:keepNext/>
            </w:pPr>
            <w:r>
              <w:rPr>
                <w:b/>
                <w:sz w:val="19"/>
              </w:rPr>
              <w:t>Réponse dans la conversation</w:t>
            </w:r>
          </w:p>
        </w:tc>
        <w:tc>
          <w:tcPr>
            <w:tcW w:type="dxa" w:w="3969"/>
          </w:tcPr>
          <w:p>
            <w:pPr>
              <w:keepNext/>
            </w:pPr>
            <w:r>
              <w:rPr>
                <w:sz w:val="19"/>
              </w:rPr>
              <w:t>Tableaux markdown (échéancier, provision, alertes)</w:t>
            </w:r>
          </w:p>
        </w:tc>
        <w:tc>
          <w:tcPr>
            <w:tcW w:type="dxa" w:w="3061"/>
          </w:tcPr>
          <w:p>
            <w:pPr>
              <w:keepNext/>
            </w:pPr>
            <w:r>
              <w:rPr>
                <w:sz w:val="19"/>
              </w:rPr>
              <w:t>Toujours — c'est la base</w:t>
            </w:r>
          </w:p>
        </w:tc>
      </w:tr>
      <w:tr>
        <w:trPr>
          <w:cantSplit/>
        </w:trPr>
        <w:tc>
          <w:tcPr>
            <w:tcW w:type="dxa" w:w="2608"/>
            <w:shd w:val="clear" w:fill="F1EDFF"/>
          </w:tcPr>
          <w:p>
            <w:pPr>
              <w:keepNext/>
            </w:pPr>
            <w:r>
              <w:rPr>
                <w:b/>
                <w:sz w:val="19"/>
              </w:rPr>
              <w:t>Dashboard interactif</w:t>
            </w:r>
          </w:p>
        </w:tc>
        <w:tc>
          <w:tcPr>
            <w:tcW w:type="dxa" w:w="3969"/>
            <w:shd w:val="clear" w:fill="F1EDFF"/>
          </w:tcPr>
          <w:p>
            <w:pPr>
              <w:keepNext/>
            </w:pPr>
            <w:r>
              <w:rPr>
                <w:sz w:val="19"/>
              </w:rPr>
              <w:t>Fichier/artifact HTML : courbe 90 j, échéancier ✅/⚠️, jauge du coffre</w:t>
            </w:r>
          </w:p>
        </w:tc>
        <w:tc>
          <w:tcPr>
            <w:tcW w:type="dxa" w:w="3061"/>
            <w:shd w:val="clear" w:fill="F1EDFF"/>
          </w:tcPr>
          <w:p>
            <w:pPr>
              <w:keepNext/>
            </w:pPr>
            <w:r>
              <w:rPr>
                <w:sz w:val="19"/>
              </w:rPr>
              <w:t>Si l'hôte affiche les fichiers ; repli sur tableaux sinon</w:t>
            </w:r>
          </w:p>
        </w:tc>
      </w:tr>
      <w:tr>
        <w:trPr>
          <w:cantSplit/>
        </w:trPr>
        <w:tc>
          <w:tcPr>
            <w:tcW w:type="dxa" w:w="2608"/>
          </w:tcPr>
          <w:p>
            <w:r>
              <w:rPr>
                <w:b/>
                <w:sz w:val="19"/>
              </w:rPr>
              <w:t>Note de la demande Qonto</w:t>
            </w:r>
          </w:p>
        </w:tc>
        <w:tc>
          <w:tcPr>
            <w:tcW w:type="dxa" w:w="3969"/>
          </w:tcPr>
          <w:p>
            <w:r>
              <w:rPr>
                <w:sz w:val="19"/>
              </w:rPr>
              <w:t>Texte joint à la demande, visible à l'approbation SCA</w:t>
            </w:r>
          </w:p>
        </w:tc>
        <w:tc>
          <w:tcPr>
            <w:tcW w:type="dxa" w:w="3061"/>
          </w:tcPr>
          <w:p>
            <w:r>
              <w:rPr>
                <w:sz w:val="19"/>
              </w:rPr>
              <w:t>À chaque provision créée</w:t>
            </w:r>
          </w:p>
        </w:tc>
      </w:tr>
    </w:tbl>
    <w:p>
      <w:pPr>
        <w:spacing w:after="40"/>
      </w:pPr>
    </w:p>
    <w:p>
      <w:r>
        <w:br w:type="page"/>
      </w:r>
    </w:p>
    <w:p>
      <w:pPr>
        <w:keepNext/>
        <w:spacing w:before="320" w:after="120"/>
      </w:pPr>
      <w:r>
        <w:rPr>
          <w:b/>
          <w:color w:val="4A30D9"/>
          <w:sz w:val="32"/>
        </w:rPr>
        <w:t>🎬 Vidéo de démo</w:t>
      </w:r>
    </w:p>
    <w:p>
      <w:r>
        <w:rPr>
          <w:b w:val="0"/>
          <w:i w:val="0"/>
          <w:sz w:val="21"/>
        </w:rPr>
        <w:t>La démo ≤ 3 min jointe à la PR suit le storyboard : problème → échéancier &amp; projection → provision → approbation SCA filmée sur iPhone → dashboard final. Tournée en live sur un compte de production réel. (Script de tournage conservé en interne, hors dépôt.)</w:t>
      </w:r>
    </w:p>
    <w:p>
      <w:pPr>
        <w:keepNext/>
        <w:spacing w:before="320" w:after="120"/>
      </w:pPr>
      <w:r>
        <w:rPr>
          <w:b/>
          <w:color w:val="4A30D9"/>
          <w:sz w:val="32"/>
        </w:rPr>
        <w:t>💡 Améliorations possibles (dans les clous du hackathon)</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Idée</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URSSAF/TNS pour les EURL</w:t>
            </w:r>
          </w:p>
        </w:tc>
        <w:tc>
          <w:tcPr>
            <w:tcW w:type="dxa" w:w="1474"/>
          </w:tcPr>
          <w:p>
            <w:pPr>
              <w:keepNext/>
            </w:pPr>
            <w:r>
              <w:rPr>
                <w:sz w:val="19"/>
              </w:rPr>
              <w:t>Moyen</w:t>
            </w:r>
          </w:p>
        </w:tc>
        <w:tc>
          <w:tcPr>
            <w:tcW w:type="dxa" w:w="3402"/>
          </w:tcPr>
          <w:p>
            <w:pPr>
              <w:keepNext/>
            </w:pPr>
            <w:r>
              <w:rPr>
                <w:sz w:val="19"/>
              </w:rPr>
              <w:t>Élargit la cible au-delà des SASU à l'IS</w:t>
            </w:r>
          </w:p>
        </w:tc>
      </w:tr>
      <w:tr>
        <w:trPr>
          <w:cantSplit/>
        </w:trPr>
        <w:tc>
          <w:tcPr>
            <w:tcW w:type="dxa" w:w="4762"/>
            <w:shd w:val="clear" w:fill="F1EDFF"/>
          </w:tcPr>
          <w:p>
            <w:pPr>
              <w:keepNext/>
            </w:pPr>
            <w:r>
              <w:rPr>
                <w:b/>
                <w:sz w:val="19"/>
              </w:rPr>
              <w:t>Modules pays Europe (DE · ES · IT · AT · NL · BE · PT)</w:t>
            </w:r>
          </w:p>
        </w:tc>
        <w:tc>
          <w:tcPr>
            <w:tcW w:type="dxa" w:w="1474"/>
            <w:shd w:val="clear" w:fill="F1EDFF"/>
          </w:tcPr>
          <w:p>
            <w:pPr>
              <w:keepNext/>
            </w:pPr>
            <w:r>
              <w:rPr>
                <w:sz w:val="19"/>
              </w:rPr>
              <w:t>Moyen</w:t>
            </w:r>
          </w:p>
        </w:tc>
        <w:tc>
          <w:tcPr>
            <w:tcW w:type="dxa" w:w="3402"/>
            <w:shd w:val="clear" w:fill="F1EDFF"/>
          </w:tcPr>
          <w:p>
            <w:pPr>
              <w:keepNext/>
            </w:pPr>
            <w:r>
              <w:rPr>
                <w:sz w:val="19"/>
              </w:rPr>
              <w:t>Qonto est paneuropéen ; v1 = France + détection du pays, v2 = un module calendrier par pays</w:t>
            </w:r>
          </w:p>
        </w:tc>
      </w:tr>
      <w:tr>
        <w:trPr>
          <w:cantSplit/>
        </w:trPr>
        <w:tc>
          <w:tcPr>
            <w:tcW w:type="dxa" w:w="4762"/>
          </w:tcPr>
          <w:p>
            <w:pPr>
              <w:keepNext/>
            </w:pPr>
            <w:r>
              <w:rPr>
                <w:b/>
                <w:sz w:val="19"/>
              </w:rPr>
              <w:t>Rappels d'échéances dans le calendrier (MCP détecté dynamiquement)</w:t>
            </w:r>
          </w:p>
        </w:tc>
        <w:tc>
          <w:tcPr>
            <w:tcW w:type="dxa" w:w="1474"/>
          </w:tcPr>
          <w:p>
            <w:pPr>
              <w:keepNext/>
            </w:pPr>
            <w:r>
              <w:rPr>
                <w:sz w:val="19"/>
              </w:rPr>
              <w:t>Faible</w:t>
            </w:r>
          </w:p>
        </w:tc>
        <w:tc>
          <w:tcPr>
            <w:tcW w:type="dxa" w:w="3402"/>
          </w:tcPr>
          <w:p>
            <w:pPr>
              <w:keepNext/>
            </w:pPr>
            <w:r>
              <w:rPr>
                <w:sz w:val="19"/>
              </w:rPr>
              <w:t>Multi-MCP optionnel, dans l'esprit du kickoff</w:t>
            </w:r>
          </w:p>
        </w:tc>
      </w:tr>
      <w:tr>
        <w:trPr>
          <w:cantSplit/>
        </w:trPr>
        <w:tc>
          <w:tcPr>
            <w:tcW w:type="dxa" w:w="4762"/>
            <w:shd w:val="clear" w:fill="F1EDFF"/>
          </w:tcPr>
          <w:p>
            <w:pPr>
              <w:keepNext/>
            </w:pPr>
            <w:r>
              <w:rPr>
                <w:b/>
                <w:sz w:val="19"/>
              </w:rPr>
              <w:t>Atterrissage IS de l'année en cours</w:t>
            </w:r>
          </w:p>
        </w:tc>
        <w:tc>
          <w:tcPr>
            <w:tcW w:type="dxa" w:w="1474"/>
            <w:shd w:val="clear" w:fill="F1EDFF"/>
          </w:tcPr>
          <w:p>
            <w:pPr>
              <w:keepNext/>
            </w:pPr>
            <w:r>
              <w:rPr>
                <w:sz w:val="19"/>
              </w:rPr>
              <w:t>Moyen</w:t>
            </w:r>
          </w:p>
        </w:tc>
        <w:tc>
          <w:tcPr>
            <w:tcW w:type="dxa" w:w="3402"/>
            <w:shd w:val="clear" w:fill="F1EDFF"/>
          </w:tcPr>
          <w:p>
            <w:pPr>
              <w:keepNext/>
            </w:pPr>
            <w:r>
              <w:rPr>
                <w:sz w:val="19"/>
              </w:rPr>
              <w:t>Réutilise le moteur de récurrences</w:t>
            </w:r>
          </w:p>
        </w:tc>
      </w:tr>
      <w:tr>
        <w:trPr>
          <w:cantSplit/>
        </w:trPr>
        <w:tc>
          <w:tcPr>
            <w:tcW w:type="dxa" w:w="4762"/>
          </w:tcPr>
          <w:p>
            <w:r>
              <w:rPr>
                <w:b/>
                <w:sz w:val="19"/>
              </w:rPr>
              <w:t>Artifact interactif what-if (sliders)</w:t>
            </w:r>
          </w:p>
        </w:tc>
        <w:tc>
          <w:tcPr>
            <w:tcW w:type="dxa" w:w="1474"/>
          </w:tcPr>
          <w:p>
            <w:r>
              <w:rPr>
                <w:sz w:val="19"/>
              </w:rPr>
              <w:t>Faible</w:t>
            </w:r>
          </w:p>
        </w:tc>
        <w:tc>
          <w:tcPr>
            <w:tcW w:type="dxa" w:w="3402"/>
          </w:tcPr>
          <w:p>
            <w:r>
              <w:rPr>
                <w:sz w:val="19"/>
              </w:rPr>
              <w:t>Dashboard déjà maquetté</w:t>
            </w:r>
          </w:p>
        </w:tc>
      </w:tr>
    </w:tbl>
    <w:p>
      <w:pPr>
        <w:spacing w:after="40"/>
      </w:pPr>
    </w:p>
    <w:p>
      <w:pPr>
        <w:keepNext/>
        <w:spacing w:before="320" w:after="120"/>
      </w:pPr>
      <w:r>
        <w:rPr>
          <w:b/>
          <w:color w:val="4A30D9"/>
          <w:sz w:val="32"/>
        </w:rPr>
        <w:t>🛡 Garde-fous</w:t>
      </w:r>
    </w:p>
    <w:p>
      <w:pPr>
        <w:pStyle w:val="ListBullet"/>
        <w:spacing w:after="60"/>
      </w:pPr>
      <w:r>
        <w:rPr>
          <w:sz w:val="21"/>
        </w:rPr>
        <w:t>JAMAIS de demande de virement sans confirmation explicite dans la conversation en cours ; jamais présentée comme exécutée</w:t>
      </w:r>
    </w:p>
    <w:p>
      <w:pPr>
        <w:pStyle w:val="ListBullet"/>
        <w:spacing w:after="60"/>
      </w:pPr>
      <w:r>
        <w:rPr>
          <w:sz w:val="21"/>
        </w:rPr>
        <w:t>Estimations ≠ déclarations — validation expert-comptable recommandée dans chaque rapport</w:t>
      </w:r>
    </w:p>
    <w:p>
      <w:pPr>
        <w:pStyle w:val="ListBullet"/>
        <w:spacing w:after="60"/>
      </w:pPr>
      <w:r>
        <w:rPr>
          <w:sz w:val="21"/>
        </w:rPr>
        <w:t>Dégradation honnête sous 6 mois d'historique · IBAN masqués (4 derniers chiffres) · pagination ≤ 50</w:t>
      </w:r>
    </w:p>
    <w:p>
      <w:pPr>
        <w:pStyle w:val="ListBullet"/>
        <w:spacing w:after="60"/>
      </w:pPr>
      <w:r>
        <w:rPr>
          <w:sz w:val="21"/>
        </w:rPr>
        <w:t>Répétitions : decline_request après chaque test (request_type « multi_transfers », au pluriel)</w:t>
      </w:r>
    </w:p>
    <w:p>
      <w:pPr>
        <w:spacing w:before="360"/>
        <w:jc w:val="center"/>
      </w:pPr>
      <w:r>
        <w:rPr>
          <w:color w:val="5A5670"/>
          <w:sz w:val="17"/>
        </w:rPr>
        <w:t>qonto-tax-pilot · Documentation FR (pilotage) · Hackathon Qonto × Anthropic MCP · juillet 2026 · Livrable PR : SKILL.md · Version jury : doc-qonto-tax-pilot.en.docx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