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qonto-asset-registry</w:t>
      </w:r>
    </w:p>
    <w:p>
      <w:pPr>
        <w:jc w:val="center"/>
      </w:pPr>
      <w:r>
        <w:rPr>
          <w:b/>
          <w:color w:val="1D1B29"/>
          <w:sz w:val="26"/>
        </w:rPr>
        <w:t>Your account knows what you own — the asset register nobody keeps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100% read-only — zero writes  ·  Configurable €500 pre-tax threshold  ·  Insurance inventory ready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Nobody keeps the fixed-asset register. And the day something gets stolen or the office floods, the insurer asks for the inventory with purchase values and receipts — which nobody has. Yet the Qonto account already knows everything the company owns. The skill reads it:</w:t>
      </w:r>
    </w:p>
    <w:p>
      <w:pPr>
        <w:pStyle w:val="ListBullet"/>
        <w:spacing w:after="60"/>
      </w:pPr>
      <w:r>
        <w:rPr>
          <w:sz w:val="21"/>
        </w:rPr>
        <w:t>1. Equipment detection across 24–36 months of real purchases (transactions + supplier invoices) — IT, furniture, machines, vehicles, tools, telephony, recognized from the first occurrence</w:t>
      </w:r>
    </w:p>
    <w:p>
      <w:pPr>
        <w:pStyle w:val="ListBullet"/>
        <w:spacing w:after="60"/>
      </w:pPr>
      <w:r>
        <w:rPr>
          <w:sz w:val="21"/>
        </w:rPr>
        <w:t>2. €500 pre-tax threshold — French practice: below = expense, above = fixed asset (configurable); leasing flagged "financed, not capitalized here", never counted</w:t>
      </w:r>
    </w:p>
    <w:p>
      <w:pPr>
        <w:pStyle w:val="ListBullet"/>
        <w:spacing w:after="60"/>
      </w:pPr>
      <w:r>
        <w:rPr>
          <w:sz w:val="21"/>
        </w:rPr>
        <w:t>3. The asset register — date, supplier, description, pre-tax/incl-tax amount, linked receipt, status — with a receipt-completeness gauge</w:t>
      </w:r>
    </w:p>
    <w:p>
      <w:pPr>
        <w:pStyle w:val="ListBullet"/>
        <w:spacing w:after="60"/>
      </w:pPr>
      <w:r>
        <w:rPr>
          <w:sz w:val="21"/>
        </w:rPr>
        <w:t>4. Two golden outputs — indicative depreciation (straight-line, estimated net book value, for the accountant to validate) and the insurance inventory, ready to send</w:t>
      </w:r>
    </w:p>
    <w:p>
      <w:r>
        <w:rPr>
          <w:b/>
          <w:i w:val="0"/>
          <w:sz w:val="21"/>
        </w:rPr>
        <w:t>Would someone use this on a Monday morning? Ask anyone who just got the insurer's email after a break-in.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mechanics. €500 threshold + depreciation lives = French practice; other Qonto countries (DE, ES, IT…) → register and inventory without local tax suggestions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24–36 months of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Below that: partial register, covered period stated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Receipts attached to transactions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The more there are, the stronger the inventory; missing ones listed 📎 (pointer to qonto-receipt-hunter)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(100% read-only, zero writes)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Cryptic transaction labels → supplier invoices, matched by amount and date, carry the clean description and the pre-tax amount</w:t>
      </w:r>
    </w:p>
    <w:p>
      <w:pPr>
        <w:pStyle w:val="ListBullet"/>
        <w:spacing w:after="60"/>
      </w:pPr>
      <w:r>
        <w:rPr>
          <w:sz w:val="21"/>
        </w:rPr>
        <w:t>Generalist merchant (marketplace, supermarket) → line "to confirm" unless the label or the attached receipt makes the nature clear — never guessed</w:t>
      </w:r>
    </w:p>
    <w:p>
      <w:pPr>
        <w:pStyle w:val="ListBullet"/>
        <w:spacing w:after="60"/>
      </w:pPr>
      <w:r>
        <w:rPr>
          <w:sz w:val="21"/>
        </w:rPr>
        <w:t>Installment purchases → equal payments to the same vendor merged into one asset at full value</w:t>
      </w:r>
    </w:p>
    <w:p>
      <w:pPr>
        <w:pStyle w:val="ListBullet"/>
        <w:spacing w:after="60"/>
      </w:pPr>
      <w:r>
        <w:rPr>
          <w:sz w:val="21"/>
        </w:rPr>
        <w:t>Leasing / hire-purchase → recurring monthly payments to a financer: "financed, not capitalized here", excluded from totals</w:t>
      </w:r>
    </w:p>
    <w:p>
      <w:pPr>
        <w:pStyle w:val="ListBullet"/>
        <w:spacing w:after="60"/>
      </w:pPr>
      <w:r>
        <w:rPr>
          <w:sz w:val="21"/>
        </w:rPr>
        <w:t>Card purchases dated by emitted_at (settlement lags 1–2 days) · untagged VAT → estimated pre-tax amount, disclosed as such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read-only, no writes at all</w:t>
      </w:r>
    </w:p>
    <w:p>
      <w:r>
        <w:rPr>
          <w:b/>
          <w:i w:val="0"/>
          <w:sz w:val="21"/>
        </w:rPr>
        <w:t>🔒 100% read-only — the strongest guarantee: no write tool is ever called. No category changed, no document uploaded, no request created. The register writes itself; the accountant keeps the pen — the €500 threshold and the depreciation lives are customary indications, not accounting entries.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📅 Usual depreciation lives (French practice, indicative)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Usual life</w:t>
            </w:r>
          </w:p>
        </w:tc>
        <w:tc>
          <w:tcPr>
            <w:tcW w:type="dxa" w:w="51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IT hardware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3 years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Computers, monitors, servers, printers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Telephony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3 years</w:t>
            </w:r>
          </w:p>
        </w:tc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Smartphones, switchboard, pro headsets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Tools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5 years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Workshop tools, power tools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Machines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5–10 years</w:t>
            </w:r>
          </w:p>
        </w:tc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sz w:val="19"/>
              </w:rPr>
              <w:t>Production machinery, heavy equipment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Vehicles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4–5 years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Cars, vans, two-wheelers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Furniture</w:t>
            </w:r>
          </w:p>
        </w:tc>
        <w:tc>
          <w:tcPr>
            <w:tcW w:type="dxa" w:w="1928"/>
            <w:shd w:val="clear" w:fill="F1EDFF"/>
          </w:tcPr>
          <w:p>
            <w:r>
              <w:rPr>
                <w:sz w:val="19"/>
              </w:rPr>
              <w:t>10 years</w:t>
            </w:r>
          </w:p>
        </w:tc>
        <w:tc>
          <w:tcPr>
            <w:tcW w:type="dxa" w:w="5102"/>
            <w:shd w:val="clear" w:fill="F1EDFF"/>
          </w:tcPr>
          <w:p>
            <w:r>
              <w:rPr>
                <w:sz w:val="19"/>
              </w:rPr>
              <w:t>Desks, chairs, shelving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b/>
          <w:color w:val="6B4EFF"/>
          <w:sz w:val="25"/>
        </w:rPr>
        <w:t>Register statuses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030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✅ Fixed asset</w:t>
            </w:r>
          </w:p>
        </w:tc>
        <w:tc>
          <w:tcPr>
            <w:tcW w:type="dxa" w:w="7030"/>
          </w:tcPr>
          <w:p>
            <w:pPr>
              <w:keepNext/>
            </w:pPr>
            <w:r>
              <w:rPr>
                <w:sz w:val="19"/>
              </w:rPr>
              <w:t>Equipment ≥ threshold (€500 pre-tax by default), registered and depreciated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💰 Expensed</w:t>
            </w:r>
          </w:p>
        </w:tc>
        <w:tc>
          <w:tcPr>
            <w:tcW w:type="dxa" w:w="7030"/>
            <w:shd w:val="clear" w:fill="F1EDFF"/>
          </w:tcPr>
          <w:p>
            <w:pPr>
              <w:keepNext/>
            </w:pPr>
            <w:r>
              <w:rPr>
                <w:sz w:val="19"/>
              </w:rPr>
              <w:t>Below the threshold: expensed, listed for the record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❓ To confirm</w:t>
            </w:r>
          </w:p>
        </w:tc>
        <w:tc>
          <w:tcPr>
            <w:tcW w:type="dxa" w:w="7030"/>
          </w:tcPr>
          <w:p>
            <w:pPr>
              <w:keepNext/>
            </w:pPr>
            <w:r>
              <w:rPr>
                <w:sz w:val="19"/>
              </w:rPr>
              <w:t>Generalist merchant, nature undeterminable — the user decides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🔁 Financed</w:t>
            </w:r>
          </w:p>
        </w:tc>
        <w:tc>
          <w:tcPr>
            <w:tcW w:type="dxa" w:w="7030"/>
            <w:shd w:val="clear" w:fill="F1EDFF"/>
          </w:tcPr>
          <w:p>
            <w:pPr>
              <w:keepNext/>
            </w:pPr>
            <w:r>
              <w:rPr>
                <w:sz w:val="19"/>
              </w:rPr>
              <w:t>Leasing detected: flagged, never counted in the total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📎 Missing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No linked receipt — pointer to qonto-receipt-hunter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Disposals and write-offs are declared by the user, never assumed.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register sorted by category/value, depreciation, summary (N assets · total value · receipt gauge)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Dashboard / export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Self-contained HTML file/artifact in the Qonto palette: register by category, completeness gauge, insured total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Insurance inventory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Ready-to-send table: description, purchase date, value, receipt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On demand — ideally before the claim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(the inventory your insurer demands and nobody has) → the scan → the register with linked receipts → the "it was all already there" moment → the dashboard and the insurance inventory.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Country modules (DE · ES · IT · AT · NL · BE · PT thresholds and lives)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mechanics are already universal; only local practice is missing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Disposal detection from incoming credits (resale)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Always proposed for confirmation, never assumed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Reconciliation with a physical inventory (photos, asset tags)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Makes the insurance inventory defensible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End-of-depreciation alerts (renewal budgeting)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the end-of-life dates already computed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CSV export for the accounting firm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Alongside qonto-accountant-handoff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100% read-only — no write tool is ever called</w:t>
      </w:r>
    </w:p>
    <w:p>
      <w:pPr>
        <w:pStyle w:val="ListBullet"/>
        <w:spacing w:after="60"/>
      </w:pPr>
      <w:r>
        <w:rPr>
          <w:sz w:val="21"/>
        </w:rPr>
        <w:t>€500 threshold and depreciation lives = customary indications, not accounting entries — the accountant makes the final call, restated in every report</w:t>
      </w:r>
    </w:p>
    <w:p>
      <w:pPr>
        <w:pStyle w:val="ListBullet"/>
        <w:spacing w:after="60"/>
      </w:pPr>
      <w:r>
        <w:rPr>
          <w:sz w:val="21"/>
        </w:rPr>
        <w:t>Ambiguous nature → "to confirm", never invented; disposals declared by the user, never assumed</w:t>
      </w:r>
    </w:p>
    <w:p>
      <w:pPr>
        <w:pStyle w:val="ListBullet"/>
        <w:spacing w:after="60"/>
      </w:pPr>
      <w:r>
        <w:rPr>
          <w:sz w:val="21"/>
        </w:rPr>
        <w:t>Example figures are invented and presented as such · IBANs masked (last 4 digits)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qonto-asset-registry · English documentation · Qonto × Anthropic MCP Hackathon · July 2026 · PR deliverable: SKILL.md · French version: doc-qonto-asset-registry.fr.docx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