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support/registers/data_issues.json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data/llm/&lt;slug&gt;/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72 Python files in eight subpackages, 25,105 lines (appendix A, which </w:t>
      </w:r>
      <w:r>
        <w:rPr>
          <w:rFonts w:ascii="Consolas" w:hAnsi="Consolas" w:eastAsia="Consolas" w:cs="Consolas"/>
          <w:sz w:val="21"/>
        </w:rPr>
        <w:t>support/platform/note_claims.py</w:t>
      </w:r>
      <w:r>
        <w:rPr>
          <w:rFonts w:ascii="Garamond" w:hAnsi="Garamond" w:eastAsia="Garamond" w:cs="Garamond"/>
          <w:b w:val="0"/>
          <w:sz w:val="23"/>
        </w:rPr>
        <w:t xml:space="preserve"> recomputes). The validation layer (the gates plus the audit) is 28%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data/logs/runs.jsonl</w:t>
      </w:r>
      <w:r>
        <w:rPr>
          <w:rFonts w:ascii="Garamond" w:hAnsi="Garamond" w:eastAsia="Garamond" w:cs="Garamond"/>
          <w:b w:val="0"/>
          <w:sz w:val="23"/>
        </w:rPr>
        <w:t xml:space="preserve"> through </w:t>
      </w:r>
      <w:r>
        <w:rPr>
          <w:rFonts w:ascii="Consolas" w:hAnsi="Consolas" w:eastAsia="Consolas" w:cs="Consolas"/>
          <w:sz w:val="21"/>
        </w:rPr>
        <w:t>support/platform/runlog.py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runbook/01_setup.py                    # the machine: Python, packages, .env keys, model, database, buckets</w:t>
      </w:r>
    </w:p>
    <w:p>
      <w:pPr>
        <w:keepNext/>
        <w:spacing w:after="0"/>
        <w:ind w:left="288"/>
      </w:pPr>
      <w:r>
        <w:rPr>
          <w:rFonts w:ascii="Consolas" w:hAnsi="Consolas" w:eastAsia="Consolas" w:cs="Consolas"/>
          <w:sz w:val="18"/>
        </w:rPr>
        <w:t>python3 runbook/02_workflow.py --country fiji  # screen, extract, union, calcs, gates, FINAL_PANEL.xlsx</w:t>
      </w:r>
    </w:p>
    <w:p>
      <w:pPr>
        <w:keepNext/>
        <w:spacing w:after="0"/>
        <w:ind w:left="288"/>
      </w:pPr>
      <w:r>
        <w:rPr>
          <w:rFonts w:ascii="Consolas" w:hAnsi="Consolas" w:eastAsia="Consolas" w:cs="Consolas"/>
          <w:sz w:val="18"/>
        </w:rPr>
        <w:t>python3 runbook/03_sector.py --publish         # the sector layer: stage 7, its checks, its tables, the gap</w:t>
      </w:r>
    </w:p>
    <w:p>
      <w:pPr>
        <w:keepNext/>
        <w:spacing w:after="0"/>
        <w:ind w:left="288"/>
      </w:pPr>
      <w:r>
        <w:rPr>
          <w:rFonts w:ascii="Consolas" w:hAnsi="Consolas" w:eastAsia="Consolas" w:cs="Consolas"/>
          <w:sz w:val="18"/>
        </w:rPr>
        <w:t>python3 runbook/04_dashboard.py --publish      # the page and the landing, both gates, the site push</w:t>
      </w:r>
    </w:p>
    <w:p>
      <w:pPr>
        <w:keepNext/>
        <w:spacing w:after="0"/>
        <w:ind w:left="288"/>
      </w:pPr>
      <w:r>
        <w:rPr>
          <w:rFonts w:ascii="Consolas" w:hAnsi="Consolas" w:eastAsia="Consolas" w:cs="Consolas"/>
          <w:sz w:val="18"/>
        </w:rPr>
        <w:t>python3 runbook/05_review_pages.py             # the responses in, the marks applied, the four pages, gated</w:t>
      </w:r>
    </w:p>
    <w:p>
      <w:pPr>
        <w:keepNext/>
        <w:spacing w:after="0"/>
        <w:ind w:left="288"/>
      </w:pPr>
      <w:r>
        <w:rPr>
          <w:rFonts w:ascii="Consolas" w:hAnsi="Consolas" w:eastAsia="Consolas" w:cs="Consolas"/>
          <w:sz w:val="18"/>
        </w:rPr>
        <w:t>python3 runbook/06_monitor.py --suite          # the run ledger, the country roll-up, every gate, monitor.html</w:t>
      </w:r>
    </w:p>
    <w:p>
      <w:pPr>
        <w:keepNext w:val="0"/>
        <w:spacing w:after="120"/>
        <w:ind w:left="288"/>
      </w:pPr>
      <w:r>
        <w:rPr>
          <w:rFonts w:ascii="Consolas" w:hAnsi="Consolas" w:eastAsia="Consolas" w:cs="Consolas"/>
          <w:sz w:val="18"/>
        </w:rPr>
        <w:t>python3 support/tests/run_all.py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data/</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support/platform/fetch.py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data/sources/&lt;slug&gt;/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data/llm/&lt;slug&gt;/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Objective tree</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its milestones, and the targets above them where it enumerates any,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objective tree to a plain text file that is never overwritten, so a person can correct it and re-runs keep the correction. </w:t>
      </w:r>
      <w:r>
        <w:rPr>
          <w:rFonts w:ascii="Consolas" w:hAnsi="Consolas" w:eastAsia="Consolas" w:cs="Consolas"/>
          <w:sz w:val="21"/>
        </w:rPr>
        <w:t>--stages 4a</w:t>
      </w:r>
      <w:r>
        <w:rPr>
          <w:rFonts w:ascii="Garamond" w:hAnsi="Garamond" w:eastAsia="Garamond" w:cs="Garamond"/>
          <w:b w:val="0"/>
          <w:sz w:val="23"/>
        </w:rPr>
        <w:t xml:space="preserve"> is the only way to extract it over a file that already exists; </w:t>
      </w:r>
      <w:r>
        <w:rPr>
          <w:rFonts w:ascii="Consolas" w:hAnsi="Consolas" w:eastAsia="Consolas" w:cs="Consolas"/>
          <w:sz w:val="21"/>
        </w:rPr>
        <w:t>--force</w:t>
      </w:r>
      <w:r>
        <w:rPr>
          <w:rFonts w:ascii="Garamond" w:hAnsi="Garamond" w:eastAsia="Garamond" w:cs="Garamond"/>
          <w:b w:val="0"/>
          <w:sz w:val="23"/>
        </w:rPr>
        <w:t xml:space="preserve"> does not, because that is how a stage 4 re-run is asked for and the names in this file may have been corrected by hand.</w:t>
      </w:r>
    </w:p>
    <w:p>
      <w:pPr>
        <w:spacing w:after="120"/>
      </w:pPr>
      <w:r>
        <w:rPr>
          <w:rFonts w:ascii="Garamond" w:hAnsi="Garamond" w:eastAsia="Garamond" w:cs="Garamond"/>
          <w:b w:val="0"/>
          <w:sz w:val="23"/>
        </w:rPr>
        <w:t>The tree has two levels where the plan enumerates two. Thailand's 13th Plan puts 13 Milestones under 5 Main Development Targets, and until 7 September 2026 PV2 held only the milestones, which is why its reading sat a level below any analysis written at target level. Most plans enumerate no such level, and an absent one is a fact about the plan.</w:t>
      </w:r>
    </w:p>
    <w:p>
      <w:pPr>
        <w:spacing w:after="120"/>
      </w:pPr>
      <w:r>
        <w:rPr>
          <w:rFonts w:ascii="Garamond" w:hAnsi="Garamond" w:eastAsia="Garamond" w:cs="Garamond"/>
          <w:b/>
          <w:sz w:val="23"/>
        </w:rPr>
        <w:t>The link between the two levels is many-to-many and is only ever the plan's own.</w:t>
      </w:r>
      <w:r>
        <w:rPr>
          <w:rFonts w:ascii="Garamond" w:hAnsi="Garamond" w:eastAsia="Garamond" w:cs="Garamond"/>
          <w:b w:val="0"/>
          <w:sz w:val="23"/>
        </w:rPr>
        <w:t xml:space="preserve"> The 13th Plan says "Milestone 8 also corresponds to all of the five targets" and "Milestone 13, therefore, corresponds to two". So a milestone carries every target the plan gives it, and the strategies under a target cannot be added across targets. A link is kept only where the model returns the plan's own sentence making it, and that sentence is checked against the document text before the link survives: asked for the evidence without that check, the model supplied a sentence for all 13 milestones, and only a check can tell a quotation from a plausible sentence.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data/llm/&lt;slug&gt;/cost_ledger.jsonl</w:t>
      </w:r>
      <w:r>
        <w:rPr>
          <w:rFonts w:ascii="Garamond" w:hAnsi="Garamond" w:eastAsia="Garamond" w:cs="Garamond"/>
          <w:b w:val="0"/>
          <w:sz w:val="23"/>
        </w:rPr>
        <w:t xml:space="preserve">: per-stage calls, cache hits, tokens, errors, timing and what the run cost. The union carries the call counts and timings into </w:t>
      </w:r>
      <w:r>
        <w:rPr>
          <w:rFonts w:ascii="Consolas" w:hAnsi="Consolas" w:eastAsia="Consolas" w:cs="Consolas"/>
          <w:sz w:val="21"/>
        </w:rPr>
        <w:t>run_stats</w:t>
      </w:r>
      <w:r>
        <w:rPr>
          <w:rFonts w:ascii="Garamond" w:hAnsi="Garamond" w:eastAsia="Garamond" w:cs="Garamond"/>
          <w:b w:val="0"/>
          <w:sz w:val="23"/>
        </w:rPr>
        <w:t>, and the cost stays in the ledger: it is on the machine that spent it and travels no further, so no table, no page and no file this repository carries states what a run cost.</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data/union/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w:t>
      </w:r>
    </w:p>
    <w:p>
      <w:pPr>
        <w:spacing w:after="120"/>
      </w:pPr>
      <w:r>
        <w:rPr>
          <w:rFonts w:ascii="Garamond" w:hAnsi="Garamond" w:eastAsia="Garamond" w:cs="Garamond"/>
          <w:b/>
          <w:sz w:val="23"/>
        </w:rPr>
        <w:t>The overhead rule.</w:t>
      </w:r>
      <w:r>
        <w:rPr>
          <w:rFonts w:ascii="Garamond" w:hAnsi="Garamond" w:eastAsia="Garamond" w:cs="Garamond"/>
          <w:b w:val="0"/>
          <w:sz w:val="23"/>
        </w:rPr>
        <w:t xml:space="preserve"> An edge onto a line stage 5b classed </w:t>
      </w:r>
      <w:r>
        <w:rPr>
          <w:rFonts w:ascii="Consolas" w:hAnsi="Consolas" w:eastAsia="Consolas" w:cs="Consolas"/>
          <w:sz w:val="21"/>
        </w:rPr>
        <w:t>overhead</w:t>
      </w:r>
      <w:r>
        <w:rPr>
          <w:rFonts w:ascii="Garamond" w:hAnsi="Garamond" w:eastAsia="Garamond" w:cs="Garamond"/>
          <w:b w:val="0"/>
          <w:sz w:val="23"/>
        </w:rPr>
        <w:t xml:space="preserve"> is dropped the same way, with its own reason. Overhead is what keeps the machinery running: salaries, pensions, debt service, ministry headquarters, the treasury account. It funds no strategy, and attributing it to particular strategies is an attribution no budget book makes. The rule exists because Thailand's FY2026 book carries a </w:t>
      </w:r>
      <w:r>
        <w:rPr>
          <w:rFonts w:ascii="Consolas" w:hAnsi="Consolas" w:eastAsia="Consolas" w:cs="Consolas"/>
          <w:sz w:val="21"/>
        </w:rPr>
        <w:t>Program on Public Sector Personnel</w:t>
      </w:r>
      <w:r>
        <w:rPr>
          <w:rFonts w:ascii="Garamond" w:hAnsi="Garamond" w:eastAsia="Garamond" w:cs="Garamond"/>
          <w:b w:val="0"/>
          <w:sz w:val="23"/>
        </w:rPr>
        <w:t xml:space="preserve"> under six of its seven budget allocation strategies, 820,910 million baht in all, and the mapping tied exactly one of the six to a strategy and left the other five alone: one line type counted as money behind the plan under one head and as overhead under the next. Across the portfolio the rule drops 107 edges in 7 countries and moves those countries' mapped share down, in Ghana's FY2024 from 26.0% to 8.6%, because most of what it had mapped were ministry headquarters lines. Audit check A24 asserts no surviving edge cites one, so the rule is proved rather than trusted.</w:t>
      </w:r>
    </w:p>
    <w:p>
      <w:pPr>
        <w:spacing w:after="120"/>
      </w:pPr>
      <w:r>
        <w:rPr>
          <w:rFonts w:ascii="Garamond" w:hAnsi="Garamond" w:eastAsia="Garamond" w:cs="Garamond"/>
          <w:b/>
          <w:sz w:val="23"/>
        </w:rPr>
        <w:t>Lines a book does not present as programmes.</w:t>
      </w:r>
      <w:r>
        <w:rPr>
          <w:rFonts w:ascii="Garamond" w:hAnsi="Garamond" w:eastAsia="Garamond" w:cs="Garamond"/>
          <w:b w:val="0"/>
          <w:sz w:val="23"/>
        </w:rPr>
        <w:t xml:space="preserve"> A row a stage output records as a programme under a head, which the book itself does not, is named in </w:t>
      </w:r>
      <w:r>
        <w:rPr>
          <w:rFonts w:ascii="Consolas" w:hAnsi="Consolas" w:eastAsia="Consolas" w:cs="Consolas"/>
          <w:sz w:val="21"/>
        </w:rPr>
        <w:t>workflow/vocab/patches.json</w:t>
      </w:r>
      <w:r>
        <w:rPr>
          <w:rFonts w:ascii="Garamond" w:hAnsi="Garamond" w:eastAsia="Garamond" w:cs="Garamond"/>
          <w:b w:val="0"/>
          <w:sz w:val="23"/>
        </w:rPr>
        <w:t xml:space="preserve"> under </w:t>
      </w:r>
      <w:r>
        <w:rPr>
          <w:rFonts w:ascii="Consolas" w:hAnsi="Consolas" w:eastAsia="Consolas" w:cs="Consolas"/>
          <w:sz w:val="21"/>
        </w:rPr>
        <w:t>excluded_budget_lines</w:t>
      </w:r>
      <w:r>
        <w:rPr>
          <w:rFonts w:ascii="Garamond" w:hAnsi="Garamond" w:eastAsia="Garamond" w:cs="Garamond"/>
          <w:b w:val="0"/>
          <w:sz w:val="23"/>
        </w:rPr>
        <w:t xml:space="preserve"> and dropped in union, so every downstream figure is built on the same set of rows. The bar for an entry is arithmetic, not judgement: the head's programme lines must exceed its own printed total by exactly the rows being removed. Thailand's FY2026 book lists the Royal Office, the Independent Organs and State Attorney Organ and Other Government Agencies beside the programmes of Strategy 6; they sum to 36,541.7 million baht, which is both the amount by which that head overshot its printed total and the amount by which the national total overshot the printed 3,780,600. Removing them reconciles the head, reconciles the total, and takes the year's programme count from 73 to 70, the count an independent hand reading of the same book arrives at (W113).</w:t>
      </w:r>
    </w:p>
    <w:p>
      <w:pPr>
        <w:spacing w:after="120"/>
      </w:pPr>
      <w:r>
        <w:rPr>
          <w:rFonts w:ascii="Garamond" w:hAnsi="Garamond" w:eastAsia="Garamond" w:cs="Garamond"/>
          <w:b w:val="0"/>
          <w:sz w:val="23"/>
        </w:rPr>
        <w:t>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data/calcs/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rule: its latest two dated plans are held (deduped on the period; a document spanning ten years or more is a vision where a shorter plan sits beneath it, and is the country's plan where none does, as Timor-Leste's SDP 2011-2030 and Vanuatu's NSDP 2016-2030 are), and at least one budget year inside those plans is comparable. Years outside the two plans are reported and do not count. The 40% share threshold set on 1 September 2026 (W101) was removed on 10 September: it was calibrated on the day Thailand stood at exactly 0.40, and nine days later no country in the portfolio reached it, the maximum being Thailand at 0.30. A rule that marks every country incomparable separates nothing. </w:t>
      </w:r>
      <w:r>
        <w:rPr>
          <w:rFonts w:ascii="Consolas" w:hAnsi="Consolas" w:eastAsia="Consolas" w:cs="Consolas"/>
          <w:sz w:val="21"/>
        </w:rPr>
        <w:t>share_of_plan_years</w:t>
      </w:r>
      <w:r>
        <w:rPr>
          <w:rFonts w:ascii="Garamond" w:hAnsi="Garamond" w:eastAsia="Garamond" w:cs="Garamond"/>
          <w:b w:val="0"/>
          <w:sz w:val="23"/>
        </w:rPr>
        <w:t xml:space="preserve"> is still reported, because how much of a plan span is measurable is worth knowing even when nothing is judged on it.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runbook/03_sector.py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data/external/worldbank/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17b. After the vote: execution and fiscal space</w:t>
      </w:r>
    </w:p>
    <w:p>
      <w:pPr>
        <w:spacing w:after="120"/>
      </w:pPr>
      <w:r>
        <w:rPr>
          <w:rFonts w:ascii="Garamond" w:hAnsi="Garamond" w:eastAsia="Garamond" w:cs="Garamond"/>
          <w:b w:val="0"/>
          <w:sz w:val="23"/>
        </w:rPr>
        <w:t xml:space="preserve">The World Bank publishes no appropriation series for any country held here: the </w:t>
      </w:r>
      <w:r>
        <w:rPr>
          <w:rFonts w:ascii="Consolas" w:hAnsi="Consolas" w:eastAsia="Consolas" w:cs="Consolas"/>
          <w:sz w:val="21"/>
        </w:rPr>
        <w:t>GB.*</w:t>
      </w:r>
      <w:r>
        <w:rPr>
          <w:rFonts w:ascii="Garamond" w:hAnsi="Garamond" w:eastAsia="Garamond" w:cs="Garamond"/>
          <w:b w:val="0"/>
          <w:sz w:val="23"/>
        </w:rPr>
        <w:t xml:space="preserve"> budget family is in its catalogue and empty for every one of them. So PV2 is the budget side and the World Bank is the spending side, and the ratio between them is the one figure neither can give alone. Three things follow, and all three are drawn under their own heading at the foot of each budget pane, after everything PV2 read for itself, so a reader can see which half is which.</w:t>
      </w:r>
    </w:p>
    <w:p>
      <w:pPr>
        <w:spacing w:after="120"/>
      </w:pPr>
      <w:r>
        <w:rPr>
          <w:rFonts w:ascii="Garamond" w:hAnsi="Garamond" w:eastAsia="Garamond" w:cs="Garamond"/>
          <w:b/>
          <w:sz w:val="23"/>
        </w:rPr>
        <w:t>Execution.</w:t>
      </w:r>
      <w:r>
        <w:rPr>
          <w:rFonts w:ascii="Garamond" w:hAnsi="Garamond" w:eastAsia="Garamond" w:cs="Garamond"/>
          <w:b w:val="0"/>
          <w:sz w:val="23"/>
        </w:rPr>
        <w:t xml:space="preserve"> The reciprocal of the ratio is the share of the vote that was spent, taken as the median across a country's comparable years. It is only computed where the ratio is a ratio: a country whose totals are out by tenfold is not executing 10% of its budget, and a scale defect published as an execution rate would be a statement about a government that the data does not support. Where the outturn EXCEEDS the vote the row says the scope differs rather than inventing an execution above 100%, because that means the book PV2 read is narrower than the World Bank's central government, an annual appropriation act against a consolidated account. Six countries have a rate, Fiji's resting on ten comparable years; three are scope differences.</w:t>
      </w:r>
    </w:p>
    <w:p>
      <w:pPr>
        <w:spacing w:after="120"/>
      </w:pPr>
      <w:r>
        <w:rPr>
          <w:rFonts w:ascii="Garamond" w:hAnsi="Garamond" w:eastAsia="Garamond" w:cs="Garamond"/>
          <w:b/>
          <w:sz w:val="23"/>
        </w:rPr>
        <w:t>As executed.</w:t>
      </w:r>
      <w:r>
        <w:rPr>
          <w:rFonts w:ascii="Garamond" w:hAnsi="Garamond" w:eastAsia="Garamond" w:cs="Garamond"/>
          <w:b w:val="0"/>
          <w:sz w:val="23"/>
        </w:rPr>
        <w:t xml:space="preserve"> The plan's mapped money multiplied by that rate. Every figure above the line is an appropriation, and this is the only place the two are combined, because a strategy funded at X in a country that spends 87% of what it votes is funded in practice at 0.87X.</w:t>
      </w:r>
    </w:p>
    <w:p>
      <w:pPr>
        <w:spacing w:after="120"/>
      </w:pPr>
      <w:r>
        <w:rPr>
          <w:rFonts w:ascii="Garamond" w:hAnsi="Garamond" w:eastAsia="Garamond" w:cs="Garamond"/>
          <w:b/>
          <w:sz w:val="23"/>
        </w:rPr>
        <w:t>Fiscal space.</w:t>
      </w:r>
      <w:r>
        <w:rPr>
          <w:rFonts w:ascii="Garamond" w:hAnsi="Garamond" w:eastAsia="Garamond" w:cs="Garamond"/>
          <w:b w:val="0"/>
          <w:sz w:val="23"/>
        </w:rPr>
        <w:t xml:space="preserve"> The World Bank's economic split of expense: compensation of employees, goods and services, interest, subsidies and transfers, other, with military as a share of general government expenditure. Compensation and interest are read as committed, since neither can be redirected within a year, and the remainder as directable in principle. Across the countries holding a split the median already committed is 35%, and Ghana and Jamaica are both at 60%, which is the real constraint on what any plan of theirs can direct. The split is carried through unchanged so a reader can take a different reading of it. There is no FUNCTIONAL split (health, education, social protection) for these countries, so the World Bank's sectors cannot be crossed against the plan's.</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22 invariants, numbered A1 to A25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 xml:space="preserve">Two were added on 7 September 2026, both from checking the pipeline against an independent hand reading of the same budget book. </w:t>
      </w:r>
      <w:r>
        <w:rPr>
          <w:rFonts w:ascii="Garamond" w:hAnsi="Garamond" w:eastAsia="Garamond" w:cs="Garamond"/>
          <w:b/>
          <w:sz w:val="23"/>
        </w:rPr>
        <w:t>A24</w:t>
      </w:r>
      <w:r>
        <w:rPr>
          <w:rFonts w:ascii="Garamond" w:hAnsi="Garamond" w:eastAsia="Garamond" w:cs="Garamond"/>
          <w:b w:val="0"/>
          <w:sz w:val="23"/>
        </w:rPr>
        <w:t xml:space="preserve"> asserts that no surviving edge cites a line classed </w:t>
      </w:r>
      <w:r>
        <w:rPr>
          <w:rFonts w:ascii="Consolas" w:hAnsi="Consolas" w:eastAsia="Consolas" w:cs="Consolas"/>
          <w:sz w:val="21"/>
        </w:rPr>
        <w:t>overhead</w:t>
      </w:r>
      <w:r>
        <w:rPr>
          <w:rFonts w:ascii="Garamond" w:hAnsi="Garamond" w:eastAsia="Garamond" w:cs="Garamond"/>
          <w:b w:val="0"/>
          <w:sz w:val="23"/>
        </w:rPr>
        <w:t xml:space="preserve">, which is the overhead rule of chapter 12 proved rather than trusted. </w:t>
      </w:r>
      <w:r>
        <w:rPr>
          <w:rFonts w:ascii="Garamond" w:hAnsi="Garamond" w:eastAsia="Garamond" w:cs="Garamond"/>
          <w:b/>
          <w:sz w:val="23"/>
        </w:rPr>
        <w:t>A25</w:t>
      </w:r>
      <w:r>
        <w:rPr>
          <w:rFonts w:ascii="Garamond" w:hAnsi="Garamond" w:eastAsia="Garamond" w:cs="Garamond"/>
          <w:b w:val="0"/>
          <w:sz w:val="23"/>
        </w:rPr>
        <w:t xml:space="preserve"> asserts that a head's programme lines fit inside the head's own printed total. </w:t>
      </w:r>
      <w:r>
        <w:rPr>
          <w:rFonts w:ascii="Consolas" w:hAnsi="Consolas" w:eastAsia="Consolas" w:cs="Consolas"/>
          <w:sz w:val="21"/>
        </w:rPr>
        <w:t>reconciliation.csv</w:t>
      </w:r>
      <w:r>
        <w:rPr>
          <w:rFonts w:ascii="Garamond" w:hAnsi="Garamond" w:eastAsia="Garamond" w:cs="Garamond"/>
          <w:b w:val="0"/>
          <w:sz w:val="23"/>
        </w:rPr>
        <w:t xml:space="preserve"> had recorded every such overshoot since it was written and nothing read it: A2 compares the stored head total to the printed one, so both sides carry the same figure and it passes, and Thailand's FY2026 Strategy 6 sat 36,541.7 million baht over its own total while the country reported 20 checks and no failures.</w:t>
      </w:r>
    </w:p>
    <w:p>
      <w:pPr>
        <w:spacing w:after="120"/>
      </w:pPr>
      <w:r>
        <w:rPr>
          <w:rFonts w:ascii="Garamond" w:hAnsi="Garamond" w:eastAsia="Garamond" w:cs="Garamond"/>
          <w:b w:val="0"/>
          <w:sz w:val="23"/>
        </w:rPr>
        <w:t>A25 is not a flat threshold, because 465 head-years across 18 countries overshoot somewhere and in Malaysia, Jamaica and Sri Lanka more than half of all heads do. A book that overshoots on most of its heads has one structural problem, which no per-head check can isolate and which should not be reported 113 times; a book that reconciles everywhere except once has a defect at that head. So A25 fails a head that is over by more than 5% only where the country overshoots on fewer than 10% of its heads, and where it overshoots more often than that the check reports the rate and says it cannot judge a single head. On the tables of 7 September that fails 27 head-years across 7 countries and reports 10 countries as structurally unreconciled.</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Precision and recall</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2"/>
      </w:pPr>
      <w:r>
        <w:t>20a. The hand-coding pack</w:t>
      </w:r>
    </w:p>
    <w:p>
      <w:pPr>
        <w:spacing w:after="120"/>
      </w:pPr>
      <w:r>
        <w:rPr>
          <w:rFonts w:ascii="Garamond" w:hAnsi="Garamond" w:eastAsia="Garamond" w:cs="Garamond"/>
          <w:b w:val="0"/>
          <w:sz w:val="23"/>
        </w:rPr>
        <w:t xml:space="preserve">The review pages of chapter 22 show the model's own output, so a reviewer can reject a row and never add the one the model missed. Everything in chapter 20 above is therefore a figure about rows that exist. </w:t>
      </w:r>
      <w:r>
        <w:rPr>
          <w:rFonts w:ascii="Consolas" w:hAnsi="Consolas" w:eastAsia="Consolas" w:cs="Consolas"/>
          <w:sz w:val="21"/>
        </w:rPr>
        <w:t>python -m pv2.dashboard.handcode</w:t>
      </w:r>
      <w:r>
        <w:rPr>
          <w:rFonts w:ascii="Garamond" w:hAnsi="Garamond" w:eastAsia="Garamond" w:cs="Garamond"/>
          <w:b w:val="0"/>
          <w:sz w:val="23"/>
        </w:rPr>
        <w:t xml:space="preserve"> asks the other question: a person writes one country's strategy list out of the plan itself, and what they wrote that the model did not is the recall this pipeline has never had.</w:t>
      </w:r>
    </w:p>
    <w:p>
      <w:pPr>
        <w:spacing w:after="120"/>
      </w:pPr>
      <w:r>
        <w:rPr>
          <w:rFonts w:ascii="Garamond" w:hAnsi="Garamond" w:eastAsia="Garamond" w:cs="Garamond"/>
          <w:b w:val="0"/>
          <w:sz w:val="23"/>
        </w:rPr>
        <w:t>Three passes, and the order is the method:</w:t>
      </w:r>
    </w:p>
    <w:p>
      <w:pPr>
        <w:pStyle w:val="ListNumber"/>
        <w:spacing w:after="40"/>
      </w:pPr>
      <w:r>
        <w:rPr>
          <w:rFonts w:ascii="Garamond" w:hAnsi="Garamond" w:eastAsia="Garamond" w:cs="Garamond"/>
          <w:b/>
          <w:sz w:val="23"/>
        </w:rPr>
        <w:t>Blind.</w:t>
      </w:r>
      <w:r>
        <w:rPr>
          <w:rFonts w:ascii="Garamond" w:hAnsi="Garamond" w:eastAsia="Garamond" w:cs="Garamond"/>
          <w:b w:val="0"/>
          <w:sz w:val="23"/>
        </w:rPr>
        <w:t xml:space="preserve"> </w:t>
      </w:r>
      <w:r>
        <w:rPr>
          <w:rFonts w:ascii="Consolas" w:hAnsi="Consolas" w:eastAsia="Consolas" w:cs="Consolas"/>
          <w:sz w:val="21"/>
        </w:rPr>
        <w:t>--pack &lt;coder&gt;</w:t>
      </w:r>
      <w:r>
        <w:rPr>
          <w:rFonts w:ascii="Garamond" w:hAnsi="Garamond" w:eastAsia="Garamond" w:cs="Garamond"/>
          <w:b w:val="0"/>
          <w:sz w:val="23"/>
        </w:rPr>
        <w:t xml:space="preserve"> issues a workbook carrying the plan's milestones and the year's budget programmes and no model output of any kind, and a test asserts that (a coder who has read the platform's answer for their country is transcribing the model, and both the precision and the recall are then unusable). They write one row per strategy they find, with the page they read it from, and one row per programme they judge funds it.</w:t>
      </w:r>
    </w:p>
    <w:p>
      <w:pPr>
        <w:pStyle w:val="ListNumber"/>
        <w:spacing w:after="40"/>
      </w:pPr>
      <w:r>
        <w:rPr>
          <w:rFonts w:ascii="Garamond" w:hAnsi="Garamond" w:eastAsia="Garamond" w:cs="Garamond"/>
          <w:b/>
          <w:sz w:val="23"/>
        </w:rPr>
        <w:t>Aligned.</w:t>
      </w:r>
      <w:r>
        <w:rPr>
          <w:rFonts w:ascii="Garamond" w:hAnsi="Garamond" w:eastAsia="Garamond" w:cs="Garamond"/>
          <w:b w:val="0"/>
          <w:sz w:val="23"/>
        </w:rPr>
        <w:t xml:space="preserve"> </w:t>
      </w:r>
      <w:r>
        <w:rPr>
          <w:rFonts w:ascii="Consolas" w:hAnsi="Consolas" w:eastAsia="Consolas" w:cs="Consolas"/>
          <w:sz w:val="21"/>
        </w:rPr>
        <w:t>--align &lt;coder&gt;</w:t>
      </w:r>
      <w:r>
        <w:rPr>
          <w:rFonts w:ascii="Garamond" w:hAnsi="Garamond" w:eastAsia="Garamond" w:cs="Garamond"/>
          <w:b w:val="0"/>
          <w:sz w:val="23"/>
        </w:rPr>
        <w:t xml:space="preserve"> puts the model's list beside their own, their rows now carrying ids, and asks per model row whether the plan holds it and which of their rows it is. Precision and recall then come out of a join on ids rather than a name match, which is the failure that cost the August exercise all 141 of its marks (W79). A coder's own wording costs nothing, and a test pins that.</w:t>
      </w:r>
    </w:p>
    <w:p>
      <w:pPr>
        <w:pStyle w:val="ListNumber"/>
        <w:spacing w:after="40"/>
      </w:pPr>
      <w:r>
        <w:rPr>
          <w:rFonts w:ascii="Garamond" w:hAnsi="Garamond" w:eastAsia="Garamond" w:cs="Garamond"/>
          <w:b/>
          <w:sz w:val="23"/>
        </w:rPr>
        <w:t>Scored.</w:t>
      </w:r>
      <w:r>
        <w:rPr>
          <w:rFonts w:ascii="Garamond" w:hAnsi="Garamond" w:eastAsia="Garamond" w:cs="Garamond"/>
          <w:b w:val="0"/>
          <w:sz w:val="23"/>
        </w:rPr>
        <w:t xml:space="preserve"> </w:t>
      </w:r>
      <w:r>
        <w:rPr>
          <w:rFonts w:ascii="Consolas" w:hAnsi="Consolas" w:eastAsia="Consolas" w:cs="Consolas"/>
          <w:sz w:val="21"/>
        </w:rPr>
        <w:t>--score</w:t>
      </w:r>
      <w:r>
        <w:rPr>
          <w:rFonts w:ascii="Garamond" w:hAnsi="Garamond" w:eastAsia="Garamond" w:cs="Garamond"/>
          <w:b w:val="0"/>
          <w:sz w:val="23"/>
        </w:rPr>
        <w:t xml:space="preserve"> gives, per coder: strategy precision (model rows the plan holds, over the decided ones), strategy recall (their rows a model row claimed, over their total), and edge recall (pairs they asserted that the panel holds, over the pairs they asserted).</w:t>
      </w:r>
    </w:p>
    <w:p>
      <w:pPr>
        <w:spacing w:after="120"/>
      </w:pPr>
      <w:r>
        <w:rPr>
          <w:rFonts w:ascii="Garamond" w:hAnsi="Garamond" w:eastAsia="Garamond" w:cs="Garamond"/>
          <w:b/>
          <w:sz w:val="23"/>
        </w:rPr>
        <w:t>Two coders, or there is no result.</w:t>
      </w:r>
      <w:r>
        <w:rPr>
          <w:rFonts w:ascii="Garamond" w:hAnsi="Garamond" w:eastAsia="Garamond" w:cs="Garamond"/>
          <w:b w:val="0"/>
          <w:sz w:val="23"/>
        </w:rPr>
        <w:t xml:space="preserve"> Every figure above is scored against one person's reading of one plan. If two careful readers agree on 80% of the list, an 85% model precision says nothing, so the scorer reports the % agreement and Cohen's kappa between the coders beside every model figure, and prints in terms that a single-coded country is not an internal validity result. Where an independent expert grid exists for the same documents (Lauchlan Munro's Thailand FY2025 and FY2026 grids, which found W113), the coder's first unit is scored against it before their later units count.</w:t>
      </w:r>
    </w:p>
    <w:p>
      <w:pPr>
        <w:spacing w:after="120"/>
      </w:pPr>
      <w:r>
        <w:rPr>
          <w:rFonts w:ascii="Garamond" w:hAnsi="Garamond" w:eastAsia="Garamond" w:cs="Garamond"/>
          <w:b w:val="0"/>
          <w:sz w:val="23"/>
        </w:rPr>
        <w:t>The figures are reported in the metrics suite and never asserted: a floor on a hand-coded recall would be a floor on how hard two interns read a plan.</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monitoring and exceptions app (chapter 21a), because a page circulated outside the team should carry the findings and not the machinery behind them; that page has been published and linked from the footer since 7 September. The coverage grid draws its rows under geographical groupings (</w:t>
      </w:r>
      <w:r>
        <w:rPr>
          <w:rFonts w:ascii="Consolas" w:hAnsi="Consolas" w:eastAsia="Consolas" w:cs="Consolas"/>
          <w:sz w:val="21"/>
        </w:rPr>
        <w:t>support/registers/regions.json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support/platform/publish_site.py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the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data/outputs/</w:t>
      </w:r>
      <w:r>
        <w:rPr>
          <w:rFonts w:ascii="Garamond" w:hAnsi="Garamond" w:eastAsia="Garamond" w:cs="Garamond"/>
          <w:b w:val="0"/>
          <w:sz w:val="23"/>
        </w:rPr>
        <w:t xml:space="preserve">, carries what the public page no longer does. It was kept off the publish manifest until 7 September, when it went on it: it had been built and gated for days while nothing proved the copy anyone held was current, which is the drift </w:t>
      </w:r>
      <w:r>
        <w:rPr>
          <w:rFonts w:ascii="Consolas" w:hAnsi="Consolas" w:eastAsia="Consolas" w:cs="Consolas"/>
          <w:sz w:val="21"/>
        </w:rPr>
        <w:t>publish_site.py</w:t>
      </w:r>
      <w:r>
        <w:rPr>
          <w:rFonts w:ascii="Garamond" w:hAnsi="Garamond" w:eastAsia="Garamond" w:cs="Garamond"/>
          <w:b w:val="0"/>
          <w:sz w:val="23"/>
        </w:rPr>
        <w:t xml:space="preserve"> exists to catch, and a page the team runs the pipeline from is no use on one machine. GitHub Pages has no login, so it is public whether or not it is linked, and it is linked. What is on it is verdicts, counts and volumes; what a run cost stays in the ledger on disk.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Its Operations tab, added 7 September, is what the team watches the pipeline through: every run of the six entry-point scripts from </w:t>
      </w:r>
      <w:r>
        <w:rPr>
          <w:rFonts w:ascii="Consolas" w:hAnsi="Consolas" w:eastAsia="Consolas" w:cs="Consolas"/>
          <w:sz w:val="21"/>
        </w:rPr>
        <w:t>data/logs/runs.jsonl</w:t>
      </w:r>
      <w:r>
        <w:rPr>
          <w:rFonts w:ascii="Garamond" w:hAnsi="Garamond" w:eastAsia="Garamond" w:cs="Garamond"/>
          <w:b w:val="0"/>
          <w:sz w:val="23"/>
        </w:rPr>
        <w:t xml:space="preserve"> with its arguments, duration and exit code; what was asked of the model per country and stage from </w:t>
      </w:r>
      <w:r>
        <w:rPr>
          <w:rFonts w:ascii="Consolas" w:hAnsi="Consolas" w:eastAsia="Consolas" w:cs="Consolas"/>
          <w:sz w:val="21"/>
        </w:rPr>
        <w:t>run_stats</w:t>
      </w:r>
      <w:r>
        <w:rPr>
          <w:rFonts w:ascii="Garamond" w:hAnsi="Garamond" w:eastAsia="Garamond" w:cs="Garamond"/>
          <w:b w:val="0"/>
          <w:sz w:val="23"/>
        </w:rPr>
        <w:t xml:space="preserve"> (calls, answers served from cache, tokens each way, errors); and Azure Document Intelligence pages parsed against pages served from the parse cache, which is only ever in the ledgers and is read there. </w:t>
      </w:r>
      <w:r>
        <w:rPr>
          <w:rFonts w:ascii="Consolas" w:hAnsi="Consolas" w:eastAsia="Consolas" w:cs="Consolas"/>
          <w:sz w:val="21"/>
        </w:rPr>
        <w:t>pv2.dashboard.monitor_test</w:t>
      </w:r>
      <w:r>
        <w:rPr>
          <w:rFonts w:ascii="Garamond" w:hAnsi="Garamond" w:eastAsia="Garamond" w:cs="Garamond"/>
          <w:b w:val="0"/>
          <w:sz w:val="23"/>
        </w:rPr>
        <w:t xml:space="preserve"> gates all of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65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data/outputs/&lt;slug&gt;/validation/publish_payload/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support/platform/publish_site.py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support/platform/registers_xlsx.py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Six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metrics</w:t>
      </w:r>
      <w:r>
        <w:rPr>
          <w:rFonts w:ascii="Garamond" w:hAnsi="Garamond" w:eastAsia="Garamond" w:cs="Garamond"/>
          <w:b w:val="0"/>
          <w:sz w:val="23"/>
        </w:rPr>
        <w:t xml:space="preserve"> (precision and recall), </w:t>
      </w:r>
      <w:r>
        <w:rPr>
          <w:rFonts w:ascii="Consolas" w:hAnsi="Consolas" w:eastAsia="Consolas" w:cs="Consolas"/>
          <w:sz w:val="21"/>
        </w:rPr>
        <w:t>gates</w:t>
      </w:r>
      <w:r>
        <w:rPr>
          <w:rFonts w:ascii="Garamond" w:hAnsi="Garamond" w:eastAsia="Garamond" w:cs="Garamond"/>
          <w:b w:val="0"/>
          <w:sz w:val="23"/>
        </w:rPr>
        <w:t xml:space="preserve"> (the prompt-currency gate, and the negative control on the page gates),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support/platform/suite.py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data/test/output/suite.json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support/platform/check_note.py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support/tests/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support/tests/run_all.py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support/platform/suite.py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support/registers/data_issues.json</w:t>
      </w:r>
      <w:r>
        <w:rPr>
          <w:rFonts w:ascii="Garamond" w:hAnsi="Garamond" w:eastAsia="Garamond" w:cs="Garamond"/>
          <w:b w:val="0"/>
          <w:sz w:val="23"/>
        </w:rPr>
        <w:t xml:space="preserve"> is the issue log, 135 numbered W-entries at the time of writing, each with what happened, why, the fix, its status and the date first seen; an entry is never deleted, and a fixed one keeps its story. </w:t>
      </w:r>
      <w:r>
        <w:rPr>
          <w:rFonts w:ascii="Consolas" w:hAnsi="Consolas" w:eastAsia="Consolas" w:cs="Consolas"/>
          <w:sz w:val="21"/>
        </w:rPr>
        <w:t>support/registers/fixes.json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support/registers/regions.json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support/registers/README.md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own cost ledger on the machine that spent it.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data/logs/&lt;script&gt;_&lt;stamp&gt;.log</w:t>
      </w:r>
      <w:r>
        <w:rPr>
          <w:rFonts w:ascii="Garamond" w:hAnsi="Garamond" w:eastAsia="Garamond" w:cs="Garamond"/>
          <w:b w:val="0"/>
          <w:sz w:val="23"/>
        </w:rPr>
        <w:t xml:space="preserve">, and one line to </w:t>
      </w:r>
      <w:r>
        <w:rPr>
          <w:rFonts w:ascii="Consolas" w:hAnsi="Consolas" w:eastAsia="Consolas" w:cs="Consolas"/>
          <w:sz w:val="21"/>
        </w:rPr>
        <w:t>data/logs/runs.jsonl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runbook/06_monitor.py</w:t>
      </w:r>
      <w:r>
        <w:rPr>
          <w:rFonts w:ascii="Garamond" w:hAnsi="Garamond" w:eastAsia="Garamond" w:cs="Garamond"/>
          <w:b w:val="0"/>
          <w:sz w:val="23"/>
        </w:rPr>
        <w:t xml:space="preserve"> joins that ledger with the run ledgers, the run reports, the provenance stamps and the audit tables into </w:t>
      </w:r>
      <w:r>
        <w:rPr>
          <w:rFonts w:ascii="Consolas" w:hAnsi="Consolas" w:eastAsia="Consolas" w:cs="Consolas"/>
          <w:sz w:val="21"/>
        </w:rPr>
        <w:t>data/monitor/countries.csv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not measured.</w:t>
      </w:r>
      <w:r>
        <w:rPr>
          <w:rFonts w:ascii="Garamond" w:hAnsi="Garamond" w:eastAsia="Garamond" w:cs="Garamond"/>
          <w:b w:val="0"/>
          <w:sz w:val="23"/>
        </w:rPr>
        <w:t xml:space="preserve"> The hand-run tool that measured it had no caller and no test and went with the cleanup of 5 September; the fixture replay (</w:t>
      </w:r>
      <w:r>
        <w:rPr>
          <w:rFonts w:ascii="Consolas" w:hAnsi="Consolas" w:eastAsia="Consolas" w:cs="Consolas"/>
          <w:sz w:val="21"/>
        </w:rPr>
        <w:t>support/tests/test_workflow.py</w:t>
      </w:r>
      <w:r>
        <w:rPr>
          <w:rFonts w:ascii="Garamond" w:hAnsi="Garamond" w:eastAsia="Garamond" w:cs="Garamond"/>
          <w:b w:val="0"/>
          <w:sz w:val="23"/>
        </w:rPr>
        <w:t>, row for row against its golden workbooks) is the regression check that remains, and a panel that shifts between runs has no variance figure to be read against.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support/platform/note_claims.py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1,217</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810</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417</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4,703</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707</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12</w:t>
            </w:r>
          </w:p>
        </w:tc>
        <w:tc>
          <w:tcPr>
            <w:tcW w:type="dxa" w:w="2340"/>
          </w:tcPr>
          <w:p>
            <w:r/>
            <w:r>
              <w:rPr>
                <w:rFonts w:ascii="Garamond" w:hAnsi="Garamond" w:eastAsia="Garamond" w:cs="Garamond"/>
                <w:b w:val="0"/>
                <w:sz w:val="19"/>
              </w:rPr>
              <w:t>3,238</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15</w:t>
            </w:r>
          </w:p>
        </w:tc>
        <w:tc>
          <w:tcPr>
            <w:tcW w:type="dxa" w:w="2340"/>
          </w:tcPr>
          <w:p>
            <w:r/>
            <w:r>
              <w:rPr>
                <w:rFonts w:ascii="Garamond" w:hAnsi="Garamond" w:eastAsia="Garamond" w:cs="Garamond"/>
                <w:b w:val="0"/>
                <w:sz w:val="19"/>
              </w:rPr>
              <w:t>6,141</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2,920</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4,952</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72</w:t>
            </w:r>
          </w:p>
        </w:tc>
        <w:tc>
          <w:tcPr>
            <w:tcW w:type="dxa" w:w="2340"/>
          </w:tcPr>
          <w:p>
            <w:r/>
            <w:r>
              <w:rPr>
                <w:rFonts w:ascii="Garamond" w:hAnsi="Garamond" w:eastAsia="Garamond" w:cs="Garamond"/>
                <w:b w:val="0"/>
                <w:sz w:val="19"/>
              </w:rPr>
              <w:t>25,105</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3,186</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2,321</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72</w:t>
            </w:r>
          </w:p>
        </w:tc>
        <w:tc>
          <w:tcPr>
            <w:tcW w:type="dxa" w:w="2340"/>
          </w:tcPr>
          <w:p>
            <w:r/>
            <w:r>
              <w:rPr>
                <w:rFonts w:ascii="Garamond" w:hAnsi="Garamond" w:eastAsia="Garamond" w:cs="Garamond"/>
                <w:b w:val="0"/>
                <w:sz w:val="19"/>
              </w:rPr>
              <w:t>10,051</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16</w:t>
            </w:r>
          </w:p>
        </w:tc>
        <w:tc>
          <w:tcPr>
            <w:tcW w:type="dxa" w:w="2340"/>
          </w:tcPr>
          <w:p>
            <w:r/>
            <w:r>
              <w:rPr>
                <w:rFonts w:ascii="Garamond" w:hAnsi="Garamond" w:eastAsia="Garamond" w:cs="Garamond"/>
                <w:b w:val="0"/>
                <w:sz w:val="19"/>
              </w:rPr>
              <w:t>1,833</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support/platform/</w:t>
            </w:r>
          </w:p>
        </w:tc>
        <w:tc>
          <w:tcPr>
            <w:tcW w:type="dxa" w:w="2340"/>
          </w:tcPr>
          <w:p>
            <w:r/>
            <w:r>
              <w:rPr>
                <w:rFonts w:ascii="Garamond" w:hAnsi="Garamond" w:eastAsia="Garamond" w:cs="Garamond"/>
                <w:b w:val="0"/>
                <w:sz w:val="19"/>
              </w:rPr>
              <w:t>24</w:t>
            </w:r>
          </w:p>
        </w:tc>
        <w:tc>
          <w:tcPr>
            <w:tcW w:type="dxa" w:w="2340"/>
          </w:tcPr>
          <w:p>
            <w:r/>
            <w:r>
              <w:rPr>
                <w:rFonts w:ascii="Garamond" w:hAnsi="Garamond" w:eastAsia="Garamond" w:cs="Garamond"/>
                <w:b w:val="0"/>
                <w:sz w:val="19"/>
              </w:rPr>
              <w:t>7,134</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runbook/</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1,134</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10</w:t>
            </w:r>
          </w:p>
        </w:tc>
        <w:tc>
          <w:tcPr>
            <w:tcW w:type="dxa" w:w="2340"/>
          </w:tcPr>
          <w:p>
            <w:r/>
            <w:r>
              <w:rPr>
                <w:rFonts w:ascii="Garamond" w:hAnsi="Garamond" w:eastAsia="Garamond" w:cs="Garamond"/>
                <w:b w:val="0"/>
                <w:sz w:val="19"/>
              </w:rPr>
              <w:t>1,446</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2,187</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1,751</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support/registers/*.json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2,005</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data/union/*.csv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data/calcs/*.csv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BAU · proactive · transformative, and BAU is the default. Proactive is assigned only where the strategy's own text links it explicitly to a named future risk it acts ahead of; transformative only where it states an intent to change the system that produces the risk. Widening or improving a service is BAU however large it is, and so is emergency relief after the event, and so is doing nothing. Until 7 September 2026 the prompt asked for four values (transformative · proactive · reactive · inactive) and told the model to prefer the stronger one, which put 78% of 3,868 strategies in the top two; both scales validate while outputs from either are on disk, </w:t>
      </w:r>
      <w:r>
        <w:rPr>
          <w:rFonts w:ascii="Consolas" w:hAnsi="Consolas" w:eastAsia="Consolas" w:cs="Consolas"/>
          <w:sz w:val="21"/>
        </w:rPr>
        <w:t>response_scale</w:t>
      </w:r>
      <w:r>
        <w:rPr>
          <w:rFonts w:ascii="Garamond" w:hAnsi="Garamond" w:eastAsia="Garamond" w:cs="Garamond"/>
          <w:b w:val="0"/>
          <w:sz w:val="23"/>
        </w:rPr>
        <w:t xml:space="preserve"> maps the four onto the three (inactive and reactive both being BAU), and a country classified under the old prompt is named on the page as reading high until it is re-run.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at least one comparable year inside them</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support/registers/data_issues.json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