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65 Python files in eight subpackages, 18,231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30%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Files/logs/runs.jsonl</w:t>
      </w:r>
      <w:r>
        <w:rPr>
          <w:rFonts w:ascii="Garamond" w:hAnsi="Garamond" w:eastAsia="Garamond" w:cs="Garamond"/>
          <w:b w:val="0"/>
          <w:sz w:val="23"/>
        </w:rPr>
        <w:t xml:space="preserve"> through </w:t>
      </w:r>
      <w:r>
        <w:rPr>
          <w:rFonts w:ascii="Consolas" w:hAnsi="Consolas" w:eastAsia="Consolas" w:cs="Consolas"/>
          <w:sz w:val="21"/>
        </w:rPr>
        <w: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01_setup.py                    # the machine: Python, packages, .env keys, model, database, buckets</w:t>
      </w:r>
    </w:p>
    <w:p>
      <w:pPr>
        <w:keepNext/>
        <w:spacing w:after="0"/>
        <w:ind w:left="288"/>
      </w:pPr>
      <w:r>
        <w:rPr>
          <w:rFonts w:ascii="Consolas" w:hAnsi="Consolas" w:eastAsia="Consolas" w:cs="Consolas"/>
          <w:sz w:val="18"/>
        </w:rPr>
        <w:t>python3 02_workflow.py --country fiji  # screen, extract, union, calcs, gates, FINAL_PANEL.xlsx</w:t>
      </w:r>
    </w:p>
    <w:p>
      <w:pPr>
        <w:keepNext/>
        <w:spacing w:after="0"/>
        <w:ind w:left="288"/>
      </w:pPr>
      <w:r>
        <w:rPr>
          <w:rFonts w:ascii="Consolas" w:hAnsi="Consolas" w:eastAsia="Consolas" w:cs="Consolas"/>
          <w:sz w:val="18"/>
        </w:rPr>
        <w:t>python3 03_sector.py --publish         # the sector layer: stage 7, its checks, its tables, the gap</w:t>
      </w:r>
    </w:p>
    <w:p>
      <w:pPr>
        <w:keepNext/>
        <w:spacing w:after="0"/>
        <w:ind w:left="288"/>
      </w:pPr>
      <w:r>
        <w:rPr>
          <w:rFonts w:ascii="Consolas" w:hAnsi="Consolas" w:eastAsia="Consolas" w:cs="Consolas"/>
          <w:sz w:val="18"/>
        </w:rPr>
        <w:t>python3 04_dashboard.py --publish      # the page and the landing, both gates, the site push</w:t>
      </w:r>
    </w:p>
    <w:p>
      <w:pPr>
        <w:keepNext/>
        <w:spacing w:after="0"/>
        <w:ind w:left="288"/>
      </w:pPr>
      <w:r>
        <w:rPr>
          <w:rFonts w:ascii="Consolas" w:hAnsi="Consolas" w:eastAsia="Consolas" w:cs="Consolas"/>
          <w:sz w:val="18"/>
        </w:rPr>
        <w:t>python3 05_review_pages.py             # the responses in, the marks applied, the four pages, gated</w:t>
      </w:r>
    </w:p>
    <w:p>
      <w:pPr>
        <w:keepNext/>
        <w:spacing w:after="0"/>
        <w:ind w:left="288"/>
      </w:pPr>
      <w:r>
        <w:rPr>
          <w:rFonts w:ascii="Consolas" w:hAnsi="Consolas" w:eastAsia="Consolas" w:cs="Consolas"/>
          <w:sz w:val="18"/>
        </w:rPr>
        <w:t>python3 06_monitor.py --suite          # the run ledger, the country roll-up, every gate, monitor.html</w:t>
      </w:r>
    </w:p>
    <w:p>
      <w:pPr>
        <w:keepNext w:val="0"/>
        <w:spacing w:after="120"/>
        <w:ind w:left="288"/>
      </w:pPr>
      <w:r>
        <w:rPr>
          <w:rFonts w:ascii="Consolas" w:hAnsi="Consolas" w:eastAsia="Consolas" w:cs="Consolas"/>
          <w:sz w:val="18"/>
        </w:rPr>
        <w:t>python3 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Files/</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base rule set on 1 September 2026 (W101): its latest two dated plans are held (deduped on the period; a document spanning ten years or more is a vision where a shorter plan sits beneath it, and is the country's plan where none does, as Timor-Leste's SDP 2011-2030 and Vanuatu's NSDP 2016-2030 are), and its comparable budget years cover at least 40% of the years those two plans span. Years outside the two plans are reported and do not count. Before this the rule was every extracted year comparable, which one country met and Thailand, comparable on four of five years with the fifth between its plans, did not.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17a. The check from outside: the World Bank</w:t>
      </w:r>
    </w:p>
    <w:p>
      <w:pPr>
        <w:spacing w:after="120"/>
      </w:pPr>
      <w:r>
        <w:rPr>
          <w:rFonts w:ascii="Garamond" w:hAnsi="Garamond" w:eastAsia="Garamond" w:cs="Garamond"/>
          <w:b w:val="0"/>
          <w:sz w:val="23"/>
        </w:rPr>
        <w:t xml:space="preserve">Every gate in chapter 17 is internal. Each one asks whether the extraction matches the document it came from, and all of them are satisfied by a book read perfectly that is not what the government spends. </w:t>
      </w:r>
      <w:r>
        <w:rPr>
          <w:rFonts w:ascii="Consolas" w:hAnsi="Consolas" w:eastAsia="Consolas" w:cs="Consolas"/>
          <w:sz w:val="21"/>
        </w:rPr>
        <w:t>pv2.validate.external</w:t>
      </w:r>
      <w:r>
        <w:rPr>
          <w:rFonts w:ascii="Garamond" w:hAnsi="Garamond" w:eastAsia="Garamond" w:cs="Garamond"/>
          <w:b w:val="0"/>
          <w:sz w:val="23"/>
        </w:rPr>
        <w:t xml:space="preserve"> is the one check from outside: each year's extracted national total, converted into the currency's own units by the scale the config declares, against the World Bank's figure for that country-year, taken from </w:t>
      </w:r>
      <w:r>
        <w:rPr>
          <w:rFonts w:ascii="Consolas" w:hAnsi="Consolas" w:eastAsia="Consolas" w:cs="Consolas"/>
          <w:sz w:val="21"/>
        </w:rPr>
        <w:t>GC.XPN.TOTL.CN</w:t>
      </w:r>
      <w:r>
        <w:rPr>
          <w:rFonts w:ascii="Garamond" w:hAnsi="Garamond" w:eastAsia="Garamond" w:cs="Garamond"/>
          <w:b w:val="0"/>
          <w:sz w:val="23"/>
        </w:rPr>
        <w:t xml:space="preserve"> (expense, current LCU) and where that year is missing from </w:t>
      </w:r>
      <w:r>
        <w:rPr>
          <w:rFonts w:ascii="Consolas" w:hAnsi="Consolas" w:eastAsia="Consolas" w:cs="Consolas"/>
          <w:sz w:val="21"/>
        </w:rPr>
        <w:t>GC.XPN.TOTL.GD.ZS</w:t>
      </w:r>
      <w:r>
        <w:rPr>
          <w:rFonts w:ascii="Garamond" w:hAnsi="Garamond" w:eastAsia="Garamond" w:cs="Garamond"/>
          <w:b w:val="0"/>
          <w:sz w:val="23"/>
        </w:rPr>
        <w:t xml:space="preserve"> times </w:t>
      </w:r>
      <w:r>
        <w:rPr>
          <w:rFonts w:ascii="Consolas" w:hAnsi="Consolas" w:eastAsia="Consolas" w:cs="Consolas"/>
          <w:sz w:val="21"/>
        </w:rPr>
        <w:t>NY.GDP.MKTP.CN</w:t>
      </w:r>
      <w:r>
        <w:rPr>
          <w:rFonts w:ascii="Garamond" w:hAnsi="Garamond" w:eastAsia="Garamond" w:cs="Garamond"/>
          <w:b w:val="0"/>
          <w:sz w:val="23"/>
        </w:rPr>
        <w:t xml:space="preserve"> (expense as a share of GDP, times GDP). Within 10% either way is </w:t>
      </w:r>
      <w:r>
        <w:rPr>
          <w:rFonts w:ascii="Garamond" w:hAnsi="Garamond" w:eastAsia="Garamond" w:cs="Garamond"/>
          <w:b/>
          <w:sz w:val="23"/>
        </w:rPr>
        <w:t>externally verified</w:t>
      </w:r>
      <w:r>
        <w:rPr>
          <w:rFonts w:ascii="Garamond" w:hAnsi="Garamond" w:eastAsia="Garamond" w:cs="Garamond"/>
          <w:b w:val="0"/>
          <w:sz w:val="23"/>
        </w:rPr>
        <w:t>, and the mark appears on the budget scoreboard and in the drawer behind every denominator.</w:t>
      </w:r>
    </w:p>
    <w:p>
      <w:pPr>
        <w:spacing w:after="120"/>
      </w:pPr>
      <w:r>
        <w:rPr>
          <w:rFonts w:ascii="Garamond" w:hAnsi="Garamond" w:eastAsia="Garamond" w:cs="Garamond"/>
          <w:b w:val="0"/>
          <w:sz w:val="23"/>
        </w:rPr>
        <w:t xml:space="preserve">It is a mark and never a gate, because the two figures are different concepts and a gap between them is a finding about one of the two that this check cannot resolve. A budget book prints an appropriation and the World Bank reports an outturn; that outturn excludes the net acquisition of nonfinancial assets, so a country with a large capital budget reads high on a correct extraction; the series is central government, so a book covering general government is measuring more; and a fiscal year that is not the calendar year is compared on the year it ends in. The row carries the ratio and those reasons, so a reader who meets </w:t>
      </w:r>
      <w:r>
        <w:rPr>
          <w:rFonts w:ascii="Consolas" w:hAnsi="Consolas" w:eastAsia="Consolas" w:cs="Consolas"/>
          <w:sz w:val="21"/>
        </w:rPr>
        <w:t>differs</w:t>
      </w:r>
      <w:r>
        <w:rPr>
          <w:rFonts w:ascii="Garamond" w:hAnsi="Garamond" w:eastAsia="Garamond" w:cs="Garamond"/>
          <w:b w:val="0"/>
          <w:sz w:val="23"/>
        </w:rPr>
        <w:t xml:space="preserve"> is being sent to look rather than told the extraction is wrong.</w:t>
      </w:r>
    </w:p>
    <w:p>
      <w:pPr>
        <w:spacing w:after="120"/>
      </w:pPr>
      <w:r>
        <w:rPr>
          <w:rFonts w:ascii="Garamond" w:hAnsi="Garamond" w:eastAsia="Garamond" w:cs="Garamond"/>
          <w:b w:val="0"/>
          <w:sz w:val="23"/>
        </w:rPr>
        <w:t xml:space="preserve">Responses are cached under </w:t>
      </w:r>
      <w:r>
        <w:rPr>
          <w:rFonts w:ascii="Consolas" w:hAnsi="Consolas" w:eastAsia="Consolas" w:cs="Consolas"/>
          <w:sz w:val="21"/>
        </w:rPr>
        <w:t>Files/external/worldbank/</w:t>
      </w:r>
      <w:r>
        <w:rPr>
          <w:rFonts w:ascii="Garamond" w:hAnsi="Garamond" w:eastAsia="Garamond" w:cs="Garamond"/>
          <w:b w:val="0"/>
          <w:sz w:val="23"/>
        </w:rPr>
        <w:t xml:space="preserve"> with the date they were fetched, and a series older than thirty days is fetched again. A published figure cannot depend on somebody else's server answering at build time, and </w:t>
      </w:r>
      <w:r>
        <w:rPr>
          <w:rFonts w:ascii="Consolas" w:hAnsi="Consolas" w:eastAsia="Consolas" w:cs="Consolas"/>
          <w:sz w:val="21"/>
        </w:rPr>
        <w:t>--offline</w:t>
      </w:r>
      <w:r>
        <w:rPr>
          <w:rFonts w:ascii="Garamond" w:hAnsi="Garamond" w:eastAsia="Garamond" w:cs="Garamond"/>
          <w:b w:val="0"/>
          <w:sz w:val="23"/>
        </w:rPr>
        <w:t xml:space="preserve"> compares from the cache alone.</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explorer has three sub-tabs, the plans, the budgets and, since 2 September, the sector strategies: for one country, the documents read, the gap by risk from </w:t>
      </w:r>
      <w:r>
        <w:rPr>
          <w:rFonts w:ascii="Consolas" w:hAnsi="Consolas" w:eastAsia="Consolas" w:cs="Consolas"/>
          <w:sz w:val="21"/>
        </w:rPr>
        <w:t>v_ndp_sector_gap</w:t>
      </w:r>
      <w:r>
        <w:rPr>
          <w:rFonts w:ascii="Garamond" w:hAnsi="Garamond" w:eastAsia="Garamond" w:cs="Garamond"/>
          <w:b w:val="0"/>
          <w:sz w:val="23"/>
        </w:rPr>
        <w:t xml:space="preserve">, and the policy responses the plan does not carry, filtered by document, by relation and by text; for every country, the same as a matrix with a column saying whether a sector layer was read, because the gap view is a left join from the panel and a row nobody read shows only the plan's own coverage.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internal monitoring and exceptions app (chapter 21a), because a page circulated outside the team should carry the findings and not the machinery behind them. The coverage grid draws its rows under geographical groupings (</w:t>
      </w:r>
      <w:r>
        <w:rPr>
          <w:rFonts w:ascii="Consolas" w:hAnsi="Consolas" w:eastAsia="Consolas" w:cs="Consolas"/>
          <w:sz w:val="21"/>
        </w:rPr>
        <w: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Sebastian's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Files/outputs/</w:t>
      </w:r>
      <w:r>
        <w:rPr>
          <w:rFonts w:ascii="Garamond" w:hAnsi="Garamond" w:eastAsia="Garamond" w:cs="Garamond"/>
          <w:b w:val="0"/>
          <w:sz w:val="23"/>
        </w:rPr>
        <w:t xml:space="preserve"> and deliberately absent from the publish manifest, carries what the public page no longer does.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w:t>
      </w:r>
      <w:r>
        <w:rPr>
          <w:rFonts w:ascii="Consolas" w:hAnsi="Consolas" w:eastAsia="Consolas" w:cs="Consolas"/>
          <w:sz w:val="21"/>
        </w:rPr>
        <w:t>pv2.dashboard.monitor_test</w:t>
      </w:r>
      <w:r>
        <w:rPr>
          <w:rFonts w:ascii="Garamond" w:hAnsi="Garamond" w:eastAsia="Garamond" w:cs="Garamond"/>
          <w:b w:val="0"/>
          <w:sz w:val="23"/>
        </w:rPr>
        <w:t xml:space="preserve"> gates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55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107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Files/logs/&lt;script&gt;_&lt;stamp&gt;.log</w:t>
      </w:r>
      <w:r>
        <w:rPr>
          <w:rFonts w:ascii="Garamond" w:hAnsi="Garamond" w:eastAsia="Garamond" w:cs="Garamond"/>
          <w:b w:val="0"/>
          <w:sz w:val="23"/>
        </w:rPr>
        <w:t xml:space="preserve">, and one line to </w:t>
      </w:r>
      <w:r>
        <w:rPr>
          <w:rFonts w:ascii="Consolas" w:hAnsi="Consolas" w:eastAsia="Consolas" w:cs="Consolas"/>
          <w:sz w:val="21"/>
        </w:rPr>
        <w:t>Files/logs/runs.jsonl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06_monitor.py</w:t>
      </w:r>
      <w:r>
        <w:rPr>
          <w:rFonts w:ascii="Garamond" w:hAnsi="Garamond" w:eastAsia="Garamond" w:cs="Garamond"/>
          <w:b w:val="0"/>
          <w:sz w:val="23"/>
        </w:rPr>
        <w:t xml:space="preserve"> joins that ledger with the cost ledgers, the run reports, the provenance stamps and the audit tables into </w:t>
      </w:r>
      <w:r>
        <w:rPr>
          <w:rFonts w:ascii="Consolas" w:hAnsi="Consolas" w:eastAsia="Consolas" w:cs="Consolas"/>
          <w:sz w:val="21"/>
        </w:rPr>
        <w:t>Files/monitor/countries.csv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906</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695</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3,022</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516</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2,478</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16</w:t>
            </w:r>
          </w:p>
        </w:tc>
        <w:tc>
          <w:tcPr>
            <w:tcW w:type="dxa" w:w="2340"/>
          </w:tcPr>
          <w:p>
            <w:r/>
            <w:r>
              <w:rPr>
                <w:rFonts w:ascii="Garamond" w:hAnsi="Garamond" w:eastAsia="Garamond" w:cs="Garamond"/>
                <w:b w:val="0"/>
                <w:sz w:val="19"/>
              </w:rPr>
              <w:t>4,726</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5</w:t>
            </w:r>
          </w:p>
        </w:tc>
        <w:tc>
          <w:tcPr>
            <w:tcW w:type="dxa" w:w="2340"/>
          </w:tcPr>
          <w:p>
            <w:r/>
            <w:r>
              <w:rPr>
                <w:rFonts w:ascii="Garamond" w:hAnsi="Garamond" w:eastAsia="Garamond" w:cs="Garamond"/>
                <w:b w:val="0"/>
                <w:sz w:val="19"/>
              </w:rPr>
              <w:t>1,371</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4,149</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65</w:t>
            </w:r>
          </w:p>
        </w:tc>
        <w:tc>
          <w:tcPr>
            <w:tcW w:type="dxa" w:w="2340"/>
          </w:tcPr>
          <w:p>
            <w:r/>
            <w:r>
              <w:rPr>
                <w:rFonts w:ascii="Garamond" w:hAnsi="Garamond" w:eastAsia="Garamond" w:cs="Garamond"/>
                <w:b w:val="0"/>
                <w:sz w:val="19"/>
              </w:rPr>
              <w:t>18,231</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2,830</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25</w:t>
            </w:r>
          </w:p>
        </w:tc>
        <w:tc>
          <w:tcPr>
            <w:tcW w:type="dxa" w:w="2340"/>
          </w:tcPr>
          <w:p>
            <w:r/>
            <w:r>
              <w:rPr>
                <w:rFonts w:ascii="Garamond" w:hAnsi="Garamond" w:eastAsia="Garamond" w:cs="Garamond"/>
                <w:b w:val="0"/>
                <w:sz w:val="19"/>
              </w:rPr>
              <w:t>2,503</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2,447</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PV2/0*.py</w:t>
            </w:r>
          </w:p>
        </w:tc>
        <w:tc>
          <w:tcPr>
            <w:tcW w:type="dxa" w:w="2340"/>
          </w:tcPr>
          <w:p>
            <w:r/>
            <w:r>
              <w:rPr>
                <w:rFonts w:ascii="Garamond" w:hAnsi="Garamond" w:eastAsia="Garamond" w:cs="Garamond"/>
                <w:b w:val="0"/>
                <w:sz w:val="19"/>
              </w:rPr>
              <w:t>6</w:t>
            </w:r>
          </w:p>
        </w:tc>
        <w:tc>
          <w:tcPr>
            <w:tcW w:type="dxa" w:w="2340"/>
          </w:tcPr>
          <w:p>
            <w:r/>
            <w:r>
              <w:rPr>
                <w:rFonts w:ascii="Garamond" w:hAnsi="Garamond" w:eastAsia="Garamond" w:cs="Garamond"/>
                <w:b w:val="0"/>
                <w:sz w:val="19"/>
              </w:rPr>
              <w:t>1,050</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553</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1,918</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1,614</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1,669</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comparable years covering 40% of the years they span</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