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60 Python files in eight subpackages, 16,344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32%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builds the page, runs both page gates and, only where they pass, syncs, commits and pushes the site, on Sebastian's 1 September instruction that a dashboard build publishes automatically; the chaining lives outside the package so workflow/ stays self-contained for the split branch.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104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903</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2,994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3,322</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60</w:t>
            </w:r>
          </w:p>
        </w:tc>
        <w:tc>
          <w:tcPr>
            <w:tcW w:type="dxa" w:w="2340"/>
          </w:tcPr>
          <w:p>
            <w:r/>
            <w:r>
              <w:rPr>
                <w:rFonts w:ascii="Garamond" w:hAnsi="Garamond" w:eastAsia="Garamond" w:cs="Garamond"/>
                <w:b w:val="0"/>
                <w:sz w:val="19"/>
              </w:rPr>
              <w:t>16,344</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2,889</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23</w:t>
            </w:r>
          </w:p>
        </w:tc>
        <w:tc>
          <w:tcPr>
            <w:tcW w:type="dxa" w:w="2340"/>
          </w:tcPr>
          <w:p>
            <w:r/>
            <w:r>
              <w:rPr>
                <w:rFonts w:ascii="Garamond" w:hAnsi="Garamond" w:eastAsia="Garamond" w:cs="Garamond"/>
                <w:b w:val="0"/>
                <w:sz w:val="19"/>
              </w:rPr>
              <w:t>2,252</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1,884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1,632</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