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59 Python files in eight subpackages, 15,303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34%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All commands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 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currency and scale as printed, the share of pages with a real text layer (below it, OCR is needed), the dominant script, the stage-5 route (5 for a table, 5c for a speech),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with the reason.</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xml:space="preserve">, and one schema enforced on the way out (chapter 10). 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 </w:t>
      </w: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 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 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 </w:t>
      </w: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 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 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 and 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 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 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 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w:t>
      </w:r>
      <w:r>
        <w:rPr>
          <w:rFonts w:ascii="Consolas" w:hAnsi="Consolas" w:eastAsia="Consolas" w:cs="Consolas"/>
          <w:sz w:val="21"/>
        </w:rPr>
        <w:t>comparability.csv</w:t>
      </w:r>
      <w:r>
        <w:rPr>
          <w:rFonts w:ascii="Garamond" w:hAnsi="Garamond" w:eastAsia="Garamond" w:cs="Garamond"/>
          <w:b w:val="0"/>
          <w:sz w:val="23"/>
        </w:rPr>
        <w:t xml:space="preserve"> rolls this up to one row per country, with the median coverage and the factor by which summing the per-strategy funding column would overstate the money.</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 The rule is enforced three ways rather than remembered: migration 0009's tables have no column that could hold an amount, audit check A23 fails if a sector intervention appears as a panel strategy, and the tamper test injects exactly that leak and requires A23 to turn red. 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 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 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 </w:t>
      </w: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 </w:t>
      </w: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 </w:t>
      </w: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 </w:t>
      </w: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 </w:t>
      </w: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18. The audit: the pipeline against itself</w:t>
      </w:r>
    </w:p>
    <w:p>
      <w:pPr>
        <w:spacing w:after="120"/>
      </w:pPr>
      <w:r>
        <w:rPr>
          <w:rFonts w:ascii="Garamond" w:hAnsi="Garamond" w:eastAsia="Garamond" w:cs="Garamond"/>
          <w:b w:val="0"/>
          <w:sz w:val="23"/>
        </w:rPr>
        <w:t xml:space="preserve">The gates check the pipeline against the outside world; none of them checks it against itself. Every sheet in the panel is derived from another table, and a stored figure that disagrees with the rows it claims to summarise would pass every gate. </w:t>
      </w: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 Money comparisons use the same tolerance as reconciliation (0.5% relative, 1.0 absolute floor), so the two can never return contradictory verdicts on one run. 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dashboard's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 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 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 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 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xml:space="preserve">, the three columns that decide whether two countries can be read side by side at all; built from the tables, the page needs no credentials and cannot disagree with the published numbers. Six tabs: regional, explorer, coverage, review, audit, testing. The Audit tab is the internal validator's surface: the validator matrix, the self-audit checks, the funnel, where a check cannot fail, and the issue register, every row read from the audit tables of chapter 18. 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 </w:t>
      </w: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two single-file review pages from today's tables, both on one shared card engine (</w:t>
      </w:r>
      <w:r>
        <w:rPr>
          <w:rFonts w:ascii="Consolas" w:hAnsi="Consolas" w:eastAsia="Consolas" w:cs="Consolas"/>
          <w:sz w:val="21"/>
        </w:rPr>
        <w:t>review_page.py</w:t>
      </w:r>
      <w:r>
        <w:rPr>
          <w:rFonts w:ascii="Garamond" w:hAnsi="Garamond" w:eastAsia="Garamond" w:cs="Garamond"/>
          <w:b w:val="0"/>
          <w:sz w:val="23"/>
        </w:rPr>
        <w:t>), because two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 They are now the re-review queue (</w:t>
      </w:r>
      <w:r>
        <w:rPr>
          <w:rFonts w:ascii="Consolas" w:hAnsi="Consolas" w:eastAsia="Consolas" w:cs="Consolas"/>
          <w:sz w:val="21"/>
        </w:rPr>
        <w:t>rereview.csv</w:t>
      </w:r>
      <w:r>
        <w:rPr>
          <w:rFonts w:ascii="Garamond" w:hAnsi="Garamond" w:eastAsia="Garamond" w:cs="Garamond"/>
          <w:b w:val="0"/>
          <w:sz w:val="23"/>
        </w:rPr>
        <w:t xml:space="preserve">, generated, ordered by how much work each row is). 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Two tests, and both are needed because each passes the other's failure mode.</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xml:space="preserve">, so no node and no network; absent an engine it reports COULD NOT RUN rather than passing quietly) and counts what each tab drew against what the payload holds. 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 It then hovers every coverage cell for real, and checks every id the page asks for against the page's own markup, because the stub once pooled elements by selector and a dead id survived a rename undetected. 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 And it holds a manifest of every section the page is supposed to have, 63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 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 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 It checks, in the order a drift actually happens, that every artefact a reader is sent to exists in the build, that the build is not older than the tables it was built from, that every published file matches the build byte for byte by sha256, that nothing is published that is not on the manifest, walking every directory (the check once skipped directories, and 23 per-country folders of workbooks sat published for weeks in front of it, W86), and that the site repo is committed and pushed, because a synced working tree is not a live page. </w:t>
      </w: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two review pages, the sector-gap workbook, the two register workbooks, the audit workbook and the Word copy of this note. </w:t>
      </w: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 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 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pStyle w:val="Heading2"/>
      </w:pPr>
      <w:r>
        <w:t>27. The registers</w:t>
      </w:r>
    </w:p>
    <w:p>
      <w:pPr>
        <w:spacing w:after="120"/>
      </w:pPr>
      <w:r>
        <w:rPr>
          <w:rFonts w:ascii="Garamond" w:hAnsi="Garamond" w:eastAsia="Garamond" w:cs="Garamond"/>
          <w:b w:val="0"/>
          <w:sz w:val="23"/>
        </w:rPr>
        <w:t xml:space="preserve">What the pipeline knows about its own defects and decisions is data, not folklore. </w:t>
      </w:r>
      <w:r>
        <w:rPr>
          <w:rFonts w:ascii="Consolas" w:hAnsi="Consolas" w:eastAsia="Consolas" w:cs="Consolas"/>
          <w:sz w:val="21"/>
        </w:rPr>
        <w:t>registers/data_issues.json</w:t>
      </w:r>
      <w:r>
        <w:rPr>
          <w:rFonts w:ascii="Garamond" w:hAnsi="Garamond" w:eastAsia="Garamond" w:cs="Garamond"/>
          <w:b w:val="0"/>
          <w:sz w:val="23"/>
        </w:rPr>
        <w:t xml:space="preserve"> is the issue log, 92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 </w:t>
      </w: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 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897</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521</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337</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2,619</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489</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2,352</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4,361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734</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7</w:t>
            </w:r>
          </w:p>
        </w:tc>
        <w:tc>
          <w:tcPr>
            <w:tcW w:type="dxa" w:w="2340"/>
          </w:tcPr>
          <w:p>
            <w:r/>
            <w:r>
              <w:rPr>
                <w:rFonts w:ascii="Garamond" w:hAnsi="Garamond" w:eastAsia="Garamond" w:cs="Garamond"/>
                <w:b w:val="0"/>
                <w:sz w:val="19"/>
              </w:rPr>
              <w:t>2,993</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59</w:t>
            </w:r>
          </w:p>
        </w:tc>
        <w:tc>
          <w:tcPr>
            <w:tcW w:type="dxa" w:w="2340"/>
          </w:tcPr>
          <w:p>
            <w:r/>
            <w:r>
              <w:rPr>
                <w:rFonts w:ascii="Garamond" w:hAnsi="Garamond" w:eastAsia="Garamond" w:cs="Garamond"/>
                <w:b w:val="0"/>
                <w:sz w:val="19"/>
              </w:rPr>
              <w:t>15,303</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2,524</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18</w:t>
            </w:r>
          </w:p>
        </w:tc>
        <w:tc>
          <w:tcPr>
            <w:tcW w:type="dxa" w:w="2340"/>
          </w:tcPr>
          <w:p>
            <w:r/>
            <w:r>
              <w:rPr>
                <w:rFonts w:ascii="Garamond" w:hAnsi="Garamond" w:eastAsia="Garamond" w:cs="Garamond"/>
                <w:b w:val="0"/>
                <w:sz w:val="19"/>
              </w:rPr>
              <w:t>1,794</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1,864</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38</w:t>
            </w:r>
          </w:p>
        </w:tc>
        <w:tc>
          <w:tcPr>
            <w:tcW w:type="dxa" w:w="2340"/>
          </w:tcPr>
          <w:p>
            <w:r/>
            <w:r>
              <w:rPr>
                <w:rFonts w:ascii="Garamond" w:hAnsi="Garamond" w:eastAsia="Garamond" w:cs="Garamond"/>
                <w:b w:val="0"/>
                <w:sz w:val="19"/>
              </w:rPr>
              <w:t>1,644</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1,562</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1,361</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share resting on the printed total with coverage in 0.90-1.05</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