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15,284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34%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 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xml:space="preserve">, and one schema enforced on the way out (chapter 10). 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 </w:t>
      </w: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 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 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 </w:t>
      </w: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 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 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 and 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 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 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 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 The rule is enforced three ways rather than remembered: migration 0009's tables have no column that could hold an amount, audit check A23 fails if a sector intervention appears as a panel strategy, and the tamper test injects exactly that leak and requires A23 to turn red. 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 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 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 </w:t>
      </w: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 </w:t>
      </w: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 </w:t>
      </w: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 </w:t>
      </w: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 </w:t>
      </w: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 xml:space="preserve">The gates check the pipeline against the outside world; none of them checks it against itself. Every sheet in the panel is derived from another table, and a stored figure that disagrees with the rows it claims to summarise would pass every gate. </w:t>
      </w: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 Money comparisons use the same tolerance as reconciliation (0.5% relative, 1.0 absolute floor), so the two can never return contradictory verdicts on one run. 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 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 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 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 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xml:space="preserve">, the three columns that decide whether two countries can be read side by side at all; built from the tables, the page needs no credentials and cannot disagree with the published numbers. Six tabs: regional, explorer, coverage, review, audit, testing. The Audit tab is the internal validator's surface: the validator matrix, the self-audit checks, the funnel, where a check cannot fail, and the issue register, every row read from the audit tables of chapter 18. 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 </w:t>
      </w: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 They are now the re-review queue (</w:t>
      </w:r>
      <w:r>
        <w:rPr>
          <w:rFonts w:ascii="Consolas" w:hAnsi="Consolas" w:eastAsia="Consolas" w:cs="Consolas"/>
          <w:sz w:val="21"/>
        </w:rPr>
        <w:t>rereview.csv</w:t>
      </w:r>
      <w:r>
        <w:rPr>
          <w:rFonts w:ascii="Garamond" w:hAnsi="Garamond" w:eastAsia="Garamond" w:cs="Garamond"/>
          <w:b w:val="0"/>
          <w:sz w:val="23"/>
        </w:rPr>
        <w:t xml:space="preserve">, generated, ordered by how much work each row is). 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xml:space="preserve">, so no node and no network; absent an engine it reports COULD NOT RUN rather than passing quietly) and counts what each tab drew against what the payload holds. 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 It then hovers every coverage cell for real, and checks every id the page asks for against the page's own markup, because the stub once pooled elements by selector and a dead id survived a rename undetected. 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 And it holds a manifest of every section the page is supposed to have, 63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 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 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 It checks, in the order a drift actually happens, that every artefact a reader is sent to exists in the build, that the build is not older than the tables it was built from, that every published file matches the build byte for byte by sha256, that nothing is published that is not on the manifest, walking every directory (the check once skipped directories, and 23 per-country folders of workbooks sat published for weeks in front of it, W86), and that the site repo is committed and pushed, because a synced working tree is not a live page. </w:t>
      </w: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 </w:t>
      </w: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 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 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 xml:space="preserve">What the pipeline knows about its own defects and decisions is data, not folklore. </w:t>
      </w:r>
      <w:r>
        <w:rPr>
          <w:rFonts w:ascii="Consolas" w:hAnsi="Consolas" w:eastAsia="Consolas" w:cs="Consolas"/>
          <w:sz w:val="21"/>
        </w:rPr>
        <w:t>registers/data_issues.json</w:t>
      </w:r>
      <w:r>
        <w:rPr>
          <w:rFonts w:ascii="Garamond" w:hAnsi="Garamond" w:eastAsia="Garamond" w:cs="Garamond"/>
          <w:b w:val="0"/>
          <w:sz w:val="23"/>
        </w:rPr>
        <w:t xml:space="preserve"> is the issue log, 91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 </w:t>
      </w: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 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521</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337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2,619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2,352</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2,974</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15,284</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2,524</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1,794</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1,644</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1,349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