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60 Python files in eight subpackages, 16,323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32%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dashboard's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Six tabs: regional, explorer, coverage, review, audit, testing. The coverage grid draws its rows under geographical groupings (</w:t>
      </w:r>
      <w:r>
        <w:rPr>
          <w:rFonts w:ascii="Consolas" w:hAnsi="Consolas" w:eastAsia="Consolas" w:cs="Consolas"/>
          <w:sz w:val="21"/>
        </w:rPr>
        <w: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The Audit tab is the internal validator's surface: the validator matrix, the self-audit checks, the funnel, where a check cannot fail, and the issue register, every row read from the audit tables of chapter 18.</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two single-file review pages from today's tables, both on one shared card engine (</w:t>
      </w:r>
      <w:r>
        <w:rPr>
          <w:rFonts w:ascii="Consolas" w:hAnsi="Consolas" w:eastAsia="Consolas" w:cs="Consolas"/>
          <w:sz w:val="21"/>
        </w:rPr>
        <w:t>review_page.py</w:t>
      </w:r>
      <w:r>
        <w:rPr>
          <w:rFonts w:ascii="Garamond" w:hAnsi="Garamond" w:eastAsia="Garamond" w:cs="Garamond"/>
          <w:b w:val="0"/>
          <w:sz w:val="23"/>
        </w:rPr>
        <w:t>), because two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Two tests, and both are needed because each passes the other's failure mode.</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Garamond" w:hAnsi="Garamond" w:eastAsia="Garamond" w:cs="Garamond"/>
          <w:b w:val="0"/>
          <w:sz w:val="23"/>
        </w:rPr>
        <w:t>And it holds a manifest of every section the page is supposed to have, 69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two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104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903</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695</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2,994</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489</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2,478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3,301</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60</w:t>
            </w:r>
          </w:p>
        </w:tc>
        <w:tc>
          <w:tcPr>
            <w:tcW w:type="dxa" w:w="2340"/>
          </w:tcPr>
          <w:p>
            <w:r/>
            <w:r>
              <w:rPr>
                <w:rFonts w:ascii="Garamond" w:hAnsi="Garamond" w:eastAsia="Garamond" w:cs="Garamond"/>
                <w:b w:val="0"/>
                <w:sz w:val="19"/>
              </w:rPr>
              <w:t>16,323</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2,882</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23</w:t>
            </w:r>
          </w:p>
        </w:tc>
        <w:tc>
          <w:tcPr>
            <w:tcW w:type="dxa" w:w="2340"/>
          </w:tcPr>
          <w:p>
            <w:r/>
            <w:r>
              <w:rPr>
                <w:rFonts w:ascii="Garamond" w:hAnsi="Garamond" w:eastAsia="Garamond" w:cs="Garamond"/>
                <w:b w:val="0"/>
                <w:sz w:val="19"/>
              </w:rPr>
              <w:t>2,252</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1,864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1,589</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