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64 Python files in eight subpackages, 19,503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27%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Objective tree</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its milestones, and the targets above them where it enumerates any,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objective tree to a plain text file that is never overwritten, so a person can correct it and re-runs keep the correction. </w:t>
      </w:r>
      <w:r>
        <w:rPr>
          <w:rFonts w:ascii="Consolas" w:hAnsi="Consolas" w:eastAsia="Consolas" w:cs="Consolas"/>
          <w:sz w:val="21"/>
        </w:rPr>
        <w:t>--stages 4a</w:t>
      </w:r>
      <w:r>
        <w:rPr>
          <w:rFonts w:ascii="Garamond" w:hAnsi="Garamond" w:eastAsia="Garamond" w:cs="Garamond"/>
          <w:b w:val="0"/>
          <w:sz w:val="23"/>
        </w:rPr>
        <w:t xml:space="preserve"> is the only way to extract it over a file that already exists; </w:t>
      </w:r>
      <w:r>
        <w:rPr>
          <w:rFonts w:ascii="Consolas" w:hAnsi="Consolas" w:eastAsia="Consolas" w:cs="Consolas"/>
          <w:sz w:val="21"/>
        </w:rPr>
        <w:t>--force</w:t>
      </w:r>
      <w:r>
        <w:rPr>
          <w:rFonts w:ascii="Garamond" w:hAnsi="Garamond" w:eastAsia="Garamond" w:cs="Garamond"/>
          <w:b w:val="0"/>
          <w:sz w:val="23"/>
        </w:rPr>
        <w:t xml:space="preserve"> does not, because that is how a stage 4 re-run is asked for and the names in this file may have been corrected by hand.</w:t>
      </w:r>
    </w:p>
    <w:p>
      <w:pPr>
        <w:spacing w:after="120"/>
      </w:pPr>
      <w:r>
        <w:rPr>
          <w:rFonts w:ascii="Garamond" w:hAnsi="Garamond" w:eastAsia="Garamond" w:cs="Garamond"/>
          <w:b w:val="0"/>
          <w:sz w:val="23"/>
        </w:rPr>
        <w:t>The tree has two levels where the plan enumerates two. Thailand's 13th Plan puts 13 Milestones under 5 Main Development Targets, and until 7 September 2026 PV2 held only the milestones, which is why its reading sat a level below any analysis written at target level. Most plans enumerate no such level, and an absent one is a fact about the plan.</w:t>
      </w:r>
    </w:p>
    <w:p>
      <w:pPr>
        <w:spacing w:after="120"/>
      </w:pPr>
      <w:r>
        <w:rPr>
          <w:rFonts w:ascii="Garamond" w:hAnsi="Garamond" w:eastAsia="Garamond" w:cs="Garamond"/>
          <w:b/>
          <w:sz w:val="23"/>
        </w:rPr>
        <w:t>The link between the two levels is many-to-many and is only ever the plan's own.</w:t>
      </w:r>
      <w:r>
        <w:rPr>
          <w:rFonts w:ascii="Garamond" w:hAnsi="Garamond" w:eastAsia="Garamond" w:cs="Garamond"/>
          <w:b w:val="0"/>
          <w:sz w:val="23"/>
        </w:rPr>
        <w:t xml:space="preserve"> The 13th Plan says "Milestone 8 also corresponds to all of the five targets" and "Milestone 13, therefore, corresponds to two". So a milestone carries every target the plan gives it, and the strategies under a target cannot be added across targets. A link is kept only where the model returns the plan's own sentence making it, and that sentence is checked against the document text before the link survives: asked for the evidence without that check, the model supplied a sentence for all 13 milestones, and only a check can tell a quotation from a plausible sentence.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22 invariants, numbered A1 to A25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 xml:space="preserve">Two were added on 7 September 2026, both from checking the pipeline against an independent hand reading of the same budget book. </w:t>
      </w:r>
      <w:r>
        <w:rPr>
          <w:rFonts w:ascii="Garamond" w:hAnsi="Garamond" w:eastAsia="Garamond" w:cs="Garamond"/>
          <w:b/>
          <w:sz w:val="23"/>
        </w:rPr>
        <w:t>A24</w:t>
      </w:r>
      <w:r>
        <w:rPr>
          <w:rFonts w:ascii="Garamond" w:hAnsi="Garamond" w:eastAsia="Garamond" w:cs="Garamond"/>
          <w:b w:val="0"/>
          <w:sz w:val="23"/>
        </w:rPr>
        <w:t xml:space="preserve"> asserts that no surviving edge cites a line classed </w:t>
      </w:r>
      <w:r>
        <w:rPr>
          <w:rFonts w:ascii="Consolas" w:hAnsi="Consolas" w:eastAsia="Consolas" w:cs="Consolas"/>
          <w:sz w:val="21"/>
        </w:rPr>
        <w:t>overhead</w:t>
      </w:r>
      <w:r>
        <w:rPr>
          <w:rFonts w:ascii="Garamond" w:hAnsi="Garamond" w:eastAsia="Garamond" w:cs="Garamond"/>
          <w:b w:val="0"/>
          <w:sz w:val="23"/>
        </w:rPr>
        <w:t xml:space="preserve">, which is the overhead rule of chapter 12 proved rather than trusted. </w:t>
      </w:r>
      <w:r>
        <w:rPr>
          <w:rFonts w:ascii="Garamond" w:hAnsi="Garamond" w:eastAsia="Garamond" w:cs="Garamond"/>
          <w:b/>
          <w:sz w:val="23"/>
        </w:rPr>
        <w:t>A25</w:t>
      </w:r>
      <w:r>
        <w:rPr>
          <w:rFonts w:ascii="Garamond" w:hAnsi="Garamond" w:eastAsia="Garamond" w:cs="Garamond"/>
          <w:b w:val="0"/>
          <w:sz w:val="23"/>
        </w:rPr>
        <w:t xml:space="preserve"> asserts that a head's programme lines fit inside the head's own printed total. </w:t>
      </w:r>
      <w:r>
        <w:rPr>
          <w:rFonts w:ascii="Consolas" w:hAnsi="Consolas" w:eastAsia="Consolas" w:cs="Consolas"/>
          <w:sz w:val="21"/>
        </w:rPr>
        <w:t>reconciliation.csv</w:t>
      </w:r>
      <w:r>
        <w:rPr>
          <w:rFonts w:ascii="Garamond" w:hAnsi="Garamond" w:eastAsia="Garamond" w:cs="Garamond"/>
          <w:b w:val="0"/>
          <w:sz w:val="23"/>
        </w:rPr>
        <w:t xml:space="preserve"> had recorded every such overshoot since it was written and nothing read it: A2 compares the stored head total to the printed one, so both sides carry the same figure and it passes, and Thailand's FY2026 Strategy 6 sat 36,541.7 million baht over its own total while the country reported 20 checks and no failures.</w:t>
      </w:r>
    </w:p>
    <w:p>
      <w:pPr>
        <w:spacing w:after="120"/>
      </w:pPr>
      <w:r>
        <w:rPr>
          <w:rFonts w:ascii="Garamond" w:hAnsi="Garamond" w:eastAsia="Garamond" w:cs="Garamond"/>
          <w:b w:val="0"/>
          <w:sz w:val="23"/>
        </w:rPr>
        <w:t>A25 is not a flat threshold, because 465 head-years across 18 countries overshoot somewhere and in Malaysia, Jamaica and Sri Lanka more than half of all heads do. A book that overshoots on most of its heads has one structural problem, which no per-head check can isolate and which should not be reported 113 times; a book that reconciles everywhere except once has a defect at that head. So A25 fails a head that is over by more than 5% only where the country overshoots on fewer than 10% of its heads, and where it overshoots more often than that the check reports the rate and says it cannot judge a single head. On the tables of 7 September that fails 27 head-years across 7 countries and reports 10 countries as structurally unreconciled.</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2"/>
      </w:pPr>
      <w:r>
        <w:t>20a. The hand-coding pack</w:t>
      </w:r>
    </w:p>
    <w:p>
      <w:pPr>
        <w:spacing w:after="120"/>
      </w:pPr>
      <w:r>
        <w:rPr>
          <w:rFonts w:ascii="Garamond" w:hAnsi="Garamond" w:eastAsia="Garamond" w:cs="Garamond"/>
          <w:b w:val="0"/>
          <w:sz w:val="23"/>
        </w:rPr>
        <w:t xml:space="preserve">The review pages of chapter 22 show the model's own output, so a reviewer can reject a row and never add the one the model missed. Everything in chapter 20 above is therefore a figure about rows that exist. </w:t>
      </w:r>
      <w:r>
        <w:rPr>
          <w:rFonts w:ascii="Consolas" w:hAnsi="Consolas" w:eastAsia="Consolas" w:cs="Consolas"/>
          <w:sz w:val="21"/>
        </w:rPr>
        <w:t>python -m pv2.dashboard.handcode</w:t>
      </w:r>
      <w:r>
        <w:rPr>
          <w:rFonts w:ascii="Garamond" w:hAnsi="Garamond" w:eastAsia="Garamond" w:cs="Garamond"/>
          <w:b w:val="0"/>
          <w:sz w:val="23"/>
        </w:rPr>
        <w:t xml:space="preserve"> asks the other question: a person writes one country's strategy list out of the plan itself, and what they wrote that the model did not is the recall this pipeline has never had.</w:t>
      </w:r>
    </w:p>
    <w:p>
      <w:pPr>
        <w:spacing w:after="120"/>
      </w:pPr>
      <w:r>
        <w:rPr>
          <w:rFonts w:ascii="Garamond" w:hAnsi="Garamond" w:eastAsia="Garamond" w:cs="Garamond"/>
          <w:b w:val="0"/>
          <w:sz w:val="23"/>
        </w:rPr>
        <w:t>Three passes, and the order is the method:</w:t>
      </w:r>
    </w:p>
    <w:p>
      <w:pPr>
        <w:pStyle w:val="ListNumber"/>
        <w:spacing w:after="40"/>
      </w:pPr>
      <w:r>
        <w:rPr>
          <w:rFonts w:ascii="Garamond" w:hAnsi="Garamond" w:eastAsia="Garamond" w:cs="Garamond"/>
          <w:b/>
          <w:sz w:val="23"/>
        </w:rPr>
        <w:t>Blind.</w:t>
      </w:r>
      <w:r>
        <w:rPr>
          <w:rFonts w:ascii="Garamond" w:hAnsi="Garamond" w:eastAsia="Garamond" w:cs="Garamond"/>
          <w:b w:val="0"/>
          <w:sz w:val="23"/>
        </w:rPr>
        <w:t xml:space="preserve"> </w:t>
      </w:r>
      <w:r>
        <w:rPr>
          <w:rFonts w:ascii="Consolas" w:hAnsi="Consolas" w:eastAsia="Consolas" w:cs="Consolas"/>
          <w:sz w:val="21"/>
        </w:rPr>
        <w:t>--pack &lt;coder&gt;</w:t>
      </w:r>
      <w:r>
        <w:rPr>
          <w:rFonts w:ascii="Garamond" w:hAnsi="Garamond" w:eastAsia="Garamond" w:cs="Garamond"/>
          <w:b w:val="0"/>
          <w:sz w:val="23"/>
        </w:rPr>
        <w:t xml:space="preserve"> issues a workbook carrying the plan's milestones and the year's budget programmes and no model output of any kind, and a test asserts that (a coder who has read the platform's answer for their country is transcribing the model, and both the precision and the recall are then unusable). They write one row per strategy they find, with the page they read it from, and one row per programme they judge funds it.</w:t>
      </w:r>
    </w:p>
    <w:p>
      <w:pPr>
        <w:pStyle w:val="ListNumber"/>
        <w:spacing w:after="40"/>
      </w:pPr>
      <w:r>
        <w:rPr>
          <w:rFonts w:ascii="Garamond" w:hAnsi="Garamond" w:eastAsia="Garamond" w:cs="Garamond"/>
          <w:b/>
          <w:sz w:val="23"/>
        </w:rPr>
        <w:t>Aligned.</w:t>
      </w:r>
      <w:r>
        <w:rPr>
          <w:rFonts w:ascii="Garamond" w:hAnsi="Garamond" w:eastAsia="Garamond" w:cs="Garamond"/>
          <w:b w:val="0"/>
          <w:sz w:val="23"/>
        </w:rPr>
        <w:t xml:space="preserve"> </w:t>
      </w:r>
      <w:r>
        <w:rPr>
          <w:rFonts w:ascii="Consolas" w:hAnsi="Consolas" w:eastAsia="Consolas" w:cs="Consolas"/>
          <w:sz w:val="21"/>
        </w:rPr>
        <w:t>--align &lt;coder&gt;</w:t>
      </w:r>
      <w:r>
        <w:rPr>
          <w:rFonts w:ascii="Garamond" w:hAnsi="Garamond" w:eastAsia="Garamond" w:cs="Garamond"/>
          <w:b w:val="0"/>
          <w:sz w:val="23"/>
        </w:rPr>
        <w:t xml:space="preserve"> puts the model's list beside their own, their rows now carrying ids, and asks per model row whether the plan holds it and which of their rows it is. Precision and recall then come out of a join on ids rather than a name match, which is the failure that cost the August exercise all 141 of its marks (W79). A coder's own wording costs nothing, and a test pins that.</w:t>
      </w:r>
    </w:p>
    <w:p>
      <w:pPr>
        <w:pStyle w:val="ListNumber"/>
        <w:spacing w:after="40"/>
      </w:pPr>
      <w:r>
        <w:rPr>
          <w:rFonts w:ascii="Garamond" w:hAnsi="Garamond" w:eastAsia="Garamond" w:cs="Garamond"/>
          <w:b/>
          <w:sz w:val="23"/>
        </w:rPr>
        <w:t>Scored.</w:t>
      </w:r>
      <w:r>
        <w:rPr>
          <w:rFonts w:ascii="Garamond" w:hAnsi="Garamond" w:eastAsia="Garamond" w:cs="Garamond"/>
          <w:b w:val="0"/>
          <w:sz w:val="23"/>
        </w:rPr>
        <w:t xml:space="preserve"> </w:t>
      </w:r>
      <w:r>
        <w:rPr>
          <w:rFonts w:ascii="Consolas" w:hAnsi="Consolas" w:eastAsia="Consolas" w:cs="Consolas"/>
          <w:sz w:val="21"/>
        </w:rPr>
        <w:t>--score</w:t>
      </w:r>
      <w:r>
        <w:rPr>
          <w:rFonts w:ascii="Garamond" w:hAnsi="Garamond" w:eastAsia="Garamond" w:cs="Garamond"/>
          <w:b w:val="0"/>
          <w:sz w:val="23"/>
        </w:rPr>
        <w:t xml:space="preserve"> gives, per coder: strategy precision (model rows the plan holds, over the decided ones), strategy recall (their rows a model row claimed, over their total), and edge recall (pairs they asserted that the panel holds, over the pairs they asserted).</w:t>
      </w:r>
    </w:p>
    <w:p>
      <w:pPr>
        <w:spacing w:after="120"/>
      </w:pPr>
      <w:r>
        <w:rPr>
          <w:rFonts w:ascii="Garamond" w:hAnsi="Garamond" w:eastAsia="Garamond" w:cs="Garamond"/>
          <w:b/>
          <w:sz w:val="23"/>
        </w:rPr>
        <w:t>Two coders, or there is no result.</w:t>
      </w:r>
      <w:r>
        <w:rPr>
          <w:rFonts w:ascii="Garamond" w:hAnsi="Garamond" w:eastAsia="Garamond" w:cs="Garamond"/>
          <w:b w:val="0"/>
          <w:sz w:val="23"/>
        </w:rPr>
        <w:t xml:space="preserve"> Every figure above is scored against one person's reading of one plan. If two careful readers agree on 80% of the list, an 85% model precision says nothing, so the scorer reports the % agreement and Cohen's kappa between the coders beside every model figure, and prints in terms that a single-coded country is not an internal validity result. Where an independent expert grid exists for the same documents (Lauchlan Munro's Thailand FY2025 and FY2026 grids, which found W113), the coder's first unit is scored against it before their later units count.</w:t>
      </w:r>
    </w:p>
    <w:p>
      <w:pPr>
        <w:spacing w:after="120"/>
      </w:pPr>
      <w:r>
        <w:rPr>
          <w:rFonts w:ascii="Garamond" w:hAnsi="Garamond" w:eastAsia="Garamond" w:cs="Garamond"/>
          <w:b w:val="0"/>
          <w:sz w:val="23"/>
        </w:rPr>
        <w:t>The figures are reported in the metrics suite and never asserted: a floor on a hand-coded recall would be a floor on how hard two interns read a plan.</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monitoring and exceptions app (chapter 21a), because a page circulated outside the team should carry the findings and not the machinery behind them; that page has been published and linked from the footer since 7 September.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carries what the public page no longer does. It was kept off the publish manifest until 7 September, when it went on it: it had been built and gated for days while nothing proved the copy anyone held was current, which is the drift </w:t>
      </w:r>
      <w:r>
        <w:rPr>
          <w:rFonts w:ascii="Consolas" w:hAnsi="Consolas" w:eastAsia="Consolas" w:cs="Consolas"/>
          <w:sz w:val="21"/>
        </w:rPr>
        <w:t>publish_site.py</w:t>
      </w:r>
      <w:r>
        <w:rPr>
          <w:rFonts w:ascii="Garamond" w:hAnsi="Garamond" w:eastAsia="Garamond" w:cs="Garamond"/>
          <w:b w:val="0"/>
          <w:sz w:val="23"/>
        </w:rPr>
        <w:t xml:space="preserve"> exists to catch, and a page the team runs the pipeline from is no use on one machine. GitHub Pages has no login, so it is public whether or not it is linked, and it is linked. What is on it is verdicts, counts and volumes; what a run cost stays in the ledger on disk.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Its Operations tab, added 7 September, is what the team watches the pipeline through: every run of the six entry-point scripts from </w:t>
      </w:r>
      <w:r>
        <w:rPr>
          <w:rFonts w:ascii="Consolas" w:hAnsi="Consolas" w:eastAsia="Consolas" w:cs="Consolas"/>
          <w:sz w:val="21"/>
        </w:rPr>
        <w:t>data/logs/runs.jsonl</w:t>
      </w:r>
      <w:r>
        <w:rPr>
          <w:rFonts w:ascii="Garamond" w:hAnsi="Garamond" w:eastAsia="Garamond" w:cs="Garamond"/>
          <w:b w:val="0"/>
          <w:sz w:val="23"/>
        </w:rPr>
        <w:t xml:space="preserve"> with its arguments, duration and exit code; what was asked of the model per country and stage from </w:t>
      </w:r>
      <w:r>
        <w:rPr>
          <w:rFonts w:ascii="Consolas" w:hAnsi="Consolas" w:eastAsia="Consolas" w:cs="Consolas"/>
          <w:sz w:val="21"/>
        </w:rPr>
        <w:t>run_stats</w:t>
      </w:r>
      <w:r>
        <w:rPr>
          <w:rFonts w:ascii="Garamond" w:hAnsi="Garamond" w:eastAsia="Garamond" w:cs="Garamond"/>
          <w:b w:val="0"/>
          <w:sz w:val="23"/>
        </w:rPr>
        <w:t xml:space="preserve"> (calls, answers served from cache, tokens each way, errors); and Azure Document Intelligence pages parsed against pages served from the parse cache, which is only ever in the ledgers and is read there. </w:t>
      </w:r>
      <w:r>
        <w:rPr>
          <w:rFonts w:ascii="Consolas" w:hAnsi="Consolas" w:eastAsia="Consolas" w:cs="Consolas"/>
          <w:sz w:val="21"/>
        </w:rPr>
        <w:t>pv2.dashboard.monitor_test</w:t>
      </w:r>
      <w:r>
        <w:rPr>
          <w:rFonts w:ascii="Garamond" w:hAnsi="Garamond" w:eastAsia="Garamond" w:cs="Garamond"/>
          <w:b w:val="0"/>
          <w:sz w:val="23"/>
        </w:rPr>
        <w:t xml:space="preserve"> gates all of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67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121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1,044</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699</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3,200</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604</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2,961</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4,248</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1,440</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4,939</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64</w:t>
            </w:r>
          </w:p>
        </w:tc>
        <w:tc>
          <w:tcPr>
            <w:tcW w:type="dxa" w:w="2340"/>
          </w:tcPr>
          <w:p>
            <w:r/>
            <w:r>
              <w:rPr>
                <w:rFonts w:ascii="Garamond" w:hAnsi="Garamond" w:eastAsia="Garamond" w:cs="Garamond"/>
                <w:b w:val="0"/>
                <w:sz w:val="19"/>
              </w:rPr>
              <w:t>19,503</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3,116</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2,261</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0</w:t>
            </w:r>
          </w:p>
        </w:tc>
        <w:tc>
          <w:tcPr>
            <w:tcW w:type="dxa" w:w="2340"/>
          </w:tcPr>
          <w:p>
            <w:r/>
            <w:r>
              <w:rPr>
                <w:rFonts w:ascii="Garamond" w:hAnsi="Garamond" w:eastAsia="Garamond" w:cs="Garamond"/>
                <w:b w:val="0"/>
                <w:sz w:val="19"/>
              </w:rPr>
              <w:t>0</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1,572</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2,632</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1,078</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964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1,900</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1,660</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1,837</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