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 II Mother Tree | Targeted source verification</w:t>
      </w:r>
    </w:p>
    <w:p>
      <w:r>
        <w:t>Two missing boundary conditions and fourteen candidate macro-risk links | 20 October 2026</w:t>
      </w:r>
    </w:p>
    <w:p>
      <w:r>
        <w:t>Scope: source-to-claim verification against accessible publisher abstracts, open full text where available, and institutional publications. This is not a full-text systematic review of all 259 mechanisms. Existing tree and risk tags are not overwritten.</w:t>
      </w:r>
    </w:p>
    <w:p>
      <w:pPr>
        <w:pStyle w:val="Heading1"/>
      </w:pPr>
      <w:r>
        <w:t>Executive decision</w:t>
      </w:r>
    </w:p>
    <w:p>
      <w:pPr>
        <w:pStyle w:val="ListBullet"/>
      </w:pPr>
      <w:r>
        <w:t>L3-062: accept a narrower, exposure-specific housing-health condition; avoid claiming universal health effects.</w:t>
      </w:r>
    </w:p>
    <w:p>
      <w:pPr>
        <w:pStyle w:val="ListBullet"/>
      </w:pPr>
      <w:r>
        <w:t>L3-084: accept a narrower, lead-specific condition; remove Velders et al. (2007), an unrelated Montreal Protocol paper.</w:t>
      </w:r>
    </w:p>
    <w:p>
      <w:pPr>
        <w:pStyle w:val="ListBullet"/>
      </w:pPr>
      <w:r>
        <w:t>Risk-link dispositions: 3 supported with conditions, 8 conditional/limited, 3 rejected. No unconditional automatic risk-tag additions.</w:t>
      </w:r>
    </w:p>
    <w:p>
      <w:pPr>
        <w:pStyle w:val="Heading1"/>
      </w:pPr>
      <w:r>
        <w:t>A. Boundary-condition verification</w:t>
      </w:r>
    </w:p>
    <w:p>
      <w:pPr>
        <w:pStyle w:val="Heading2"/>
      </w:pPr>
      <w:r>
        <w:t>L3-062 — Housing quality and health</w:t>
      </w:r>
    </w:p>
    <w:p>
      <w:r>
        <w:rPr>
          <w:b/>
        </w:rPr>
        <w:t xml:space="preserve">Decision: </w:t>
      </w:r>
      <w:r>
        <w:t>REVISE_AND_ACCEPT_CONDITION</w:t>
      </w:r>
    </w:p>
    <w:p>
      <w:r>
        <w:rPr>
          <w:b/>
        </w:rPr>
        <w:t xml:space="preserve">Recommended condition: </w:t>
      </w:r>
      <w:r>
        <w:t>Health effects depend on the specific housing exposure altered (for example dirt floors and enteric pathogens), baseline exposure and implementation; improvements in housing satisfaction do not imply universal or consistent health, income or labour effects.</w:t>
      </w:r>
    </w:p>
    <w:p>
      <w:r>
        <w:rPr>
          <w:b/>
        </w:rPr>
        <w:t xml:space="preserve">Source finding: </w:t>
      </w:r>
      <w:r>
        <w:t>Cattaneo et al. (2009) directly finds improved child health after replacing dirt floors in Mexico. Galiani et al. (2017) finds housing satisfaction effects across three countries but child health improvements only in two, with no robust labour effects.</w:t>
      </w:r>
    </w:p>
    <w:p>
      <w:r>
        <w:rPr>
          <w:b/>
        </w:rPr>
        <w:t xml:space="preserve">Correction: </w:t>
      </w:r>
      <w:r>
        <w:t>Do not claim a universal housing-health effect; retain outcome-specific and context-specific qualification.</w:t>
      </w:r>
    </w:p>
    <w:p>
      <w:r>
        <w:rPr>
          <w:b/>
        </w:rPr>
        <w:t xml:space="preserve">Primary source: </w:t>
      </w:r>
      <w:r>
        <w:t>https://doi.org/10.1257/pol.1.1.75</w:t>
      </w:r>
    </w:p>
    <w:p>
      <w:r>
        <w:rPr>
          <w:b/>
        </w:rPr>
        <w:t xml:space="preserve">Secondary source: </w:t>
      </w:r>
      <w:r>
        <w:t>https://doi.org/10.1016/j.jue.2016.11.001</w:t>
      </w:r>
    </w:p>
    <w:p>
      <w:pPr>
        <w:pStyle w:val="Heading2"/>
      </w:pPr>
      <w:r>
        <w:t>L3-084 — Toxic exposure and child development</w:t>
      </w:r>
    </w:p>
    <w:p>
      <w:r>
        <w:rPr>
          <w:b/>
        </w:rPr>
        <w:t xml:space="preserve">Decision: </w:t>
      </w:r>
      <w:r>
        <w:t>REVISE_AND_ACCEPT_CONDITION_WITH_CITATION_CORRECTION</w:t>
      </w:r>
    </w:p>
    <w:p>
      <w:r>
        <w:rPr>
          <w:b/>
        </w:rPr>
        <w:t xml:space="preserve">Recommended condition: </w:t>
      </w:r>
      <w:r>
        <w:t>The measured child-development effect depends on the pollutant and biomarker, exposure level and age at measurement, the outcome assessed, and whether an intervention actually reduces exposure. For lead, Aizer et al. study preschool blood lead and later third-grade achievement; prenatal timing and other pollutants need separate citations.</w:t>
      </w:r>
    </w:p>
    <w:p>
      <w:r>
        <w:rPr>
          <w:b/>
        </w:rPr>
        <w:t xml:space="preserve">Source finding: </w:t>
      </w:r>
      <w:r>
        <w:t>Aizer et al. (2018) supports lead exposure effects on later academic achievement, including low measured levels. Velders et al. (2007) is about ozone-depleting substances and climate protection, not toxic exposure and child development; remove it from this mechanism.</w:t>
      </w:r>
    </w:p>
    <w:p>
      <w:r>
        <w:rPr>
          <w:b/>
        </w:rPr>
        <w:t xml:space="preserve">Correction: </w:t>
      </w:r>
      <w:r>
        <w:t>REMOVE Velders et al. 2007 as support for L3-084; narrow the claim or add pollutant-specific developmental studies.</w:t>
      </w:r>
    </w:p>
    <w:p>
      <w:r>
        <w:rPr>
          <w:b/>
        </w:rPr>
        <w:t xml:space="preserve">Primary source: </w:t>
      </w:r>
      <w:r>
        <w:t>https://doi.org/10.1257/app.20160404</w:t>
      </w:r>
    </w:p>
    <w:p>
      <w:r>
        <w:rPr>
          <w:b/>
        </w:rPr>
        <w:t xml:space="preserve">Secondary source: </w:t>
      </w:r>
      <w:r>
        <w:t>https://doi.org/10.1073/pnas.0610328104</w:t>
      </w:r>
    </w:p>
    <w:p>
      <w:pPr>
        <w:pStyle w:val="Heading1"/>
      </w:pPr>
      <w:r>
        <w:t>B. Fourteen proposed risk associations</w:t>
      </w:r>
    </w:p>
    <w:p>
      <w:pPr>
        <w:pStyle w:val="Heading2"/>
      </w:pPr>
      <w:r>
        <w:t>L3-034 — Skill signals and mismatch</w:t>
      </w:r>
    </w:p>
    <w:p>
      <w:r>
        <w:rPr>
          <w:b/>
        </w:rPr>
        <w:t xml:space="preserve">Proposed risk: </w:t>
      </w:r>
      <w:r>
        <w:t>Technological Change</w:t>
      </w:r>
    </w:p>
    <w:p>
      <w:r>
        <w:rPr>
          <w:b/>
        </w:rPr>
        <w:t xml:space="preserve">Decision: </w:t>
      </w:r>
      <w:r>
        <w:t>CONDITIONAL</w:t>
      </w:r>
    </w:p>
    <w:p>
      <w:r>
        <w:rPr>
          <w:b/>
        </w:rPr>
        <w:t xml:space="preserve">Evidence assessment: </w:t>
      </w:r>
      <w:r>
        <w:t>Technology shifts skill demand, but the signalling/mismatch mechanism is not itself a technology-response mechanism.</w:t>
      </w:r>
    </w:p>
    <w:p>
      <w:r>
        <w:rPr>
          <w:b/>
        </w:rPr>
        <w:t xml:space="preserve">Reference: </w:t>
      </w:r>
      <w:r>
        <w:t>Bresnahan, Brynjolfsson &amp; Hitt (2002); Acemoglu &amp; Restrepo (2019)</w:t>
      </w:r>
    </w:p>
    <w:p>
      <w:r>
        <w:rPr>
          <w:b/>
        </w:rPr>
        <w:t xml:space="preserve">URL: </w:t>
      </w:r>
      <w:r>
        <w:t>https://www.nber.org/papers/w7136</w:t>
      </w:r>
    </w:p>
    <w:p>
      <w:r>
        <w:rPr>
          <w:b/>
        </w:rPr>
        <w:t xml:space="preserve">Implementation: </w:t>
      </w:r>
      <w:r>
        <w:t>Keep untagged by default; tag only for explicit technology-driven mismatch or skill-transition commitments.</w:t>
      </w:r>
    </w:p>
    <w:p>
      <w:pPr>
        <w:pStyle w:val="Heading2"/>
      </w:pPr>
      <w:r>
        <w:t>L3-044 — Provider quality and effort</w:t>
      </w:r>
    </w:p>
    <w:p>
      <w:r>
        <w:rPr>
          <w:b/>
        </w:rPr>
        <w:t xml:space="preserve">Proposed risk: </w:t>
      </w:r>
      <w:r>
        <w:t>Pandemics</w:t>
      </w:r>
    </w:p>
    <w:p>
      <w:r>
        <w:rPr>
          <w:b/>
        </w:rPr>
        <w:t xml:space="preserve">Decision: </w:t>
      </w:r>
      <w:r>
        <w:t>CONDITIONAL</w:t>
      </w:r>
    </w:p>
    <w:p>
      <w:r>
        <w:rPr>
          <w:b/>
        </w:rPr>
        <w:t xml:space="preserve">Evidence assessment: </w:t>
      </w:r>
      <w:r>
        <w:t>WHO pandemic guidance confirms quality clinical care matters; Das et al. concerns routine care, not pandemic-specific causal identification.</w:t>
      </w:r>
    </w:p>
    <w:p>
      <w:r>
        <w:rPr>
          <w:b/>
        </w:rPr>
        <w:t xml:space="preserve">Reference: </w:t>
      </w:r>
      <w:r>
        <w:t>WHO (2023), Strategic preparedness and response plan</w:t>
      </w:r>
    </w:p>
    <w:p>
      <w:r>
        <w:rPr>
          <w:b/>
        </w:rPr>
        <w:t xml:space="preserve">URL: </w:t>
      </w:r>
      <w:r>
        <w:t>https://iris.who.int/bitstream/handle/10665/372712/WHO-WHE-SPP-2023.2-eng.pdf?sequence=1</w:t>
      </w:r>
    </w:p>
    <w:p>
      <w:r>
        <w:rPr>
          <w:b/>
        </w:rPr>
        <w:t xml:space="preserve">Implementation: </w:t>
      </w:r>
      <w:r>
        <w:t>Allow pandemic relevance when clinical care quality/surge is explicit; distinguish L3-043 and L3-045.</w:t>
      </w:r>
    </w:p>
    <w:p>
      <w:pPr>
        <w:pStyle w:val="Heading2"/>
      </w:pPr>
      <w:r>
        <w:t>L3-063 — Deterrence and the economics of crime</w:t>
      </w:r>
    </w:p>
    <w:p>
      <w:r>
        <w:rPr>
          <w:b/>
        </w:rPr>
        <w:t xml:space="preserve">Proposed risk: </w:t>
      </w:r>
      <w:r>
        <w:t>Increased Polarisation</w:t>
      </w:r>
    </w:p>
    <w:p>
      <w:r>
        <w:rPr>
          <w:b/>
        </w:rPr>
        <w:t xml:space="preserve">Decision: </w:t>
      </w:r>
      <w:r>
        <w:t>REJECT</w:t>
      </w:r>
    </w:p>
    <w:p>
      <w:r>
        <w:rPr>
          <w:b/>
        </w:rPr>
        <w:t xml:space="preserve">Evidence assessment: </w:t>
      </w:r>
      <w:r>
        <w:t>Deterrence model explains criminal behaviour; no defensible bridge to political polarisation from cited evidence.</w:t>
      </w:r>
    </w:p>
    <w:p>
      <w:r>
        <w:rPr>
          <w:b/>
        </w:rPr>
        <w:t xml:space="preserve">Reference: </w:t>
      </w:r>
      <w:r>
        <w:t>Becker (1968), Crime and Punishment</w:t>
      </w:r>
    </w:p>
    <w:p>
      <w:r>
        <w:rPr>
          <w:b/>
        </w:rPr>
        <w:t xml:space="preserve">URL: </w:t>
      </w:r>
      <w:r>
        <w:t>https://www.nber.org/papers/w0001</w:t>
      </w:r>
    </w:p>
    <w:p>
      <w:r>
        <w:rPr>
          <w:b/>
        </w:rPr>
        <w:t xml:space="preserve">Implementation: </w:t>
      </w:r>
      <w:r>
        <w:t>Do not add polarisation risk tag.</w:t>
      </w:r>
    </w:p>
    <w:p>
      <w:pPr>
        <w:pStyle w:val="Heading2"/>
      </w:pPr>
      <w:r>
        <w:t>L3-171 — Contract enforcement and court efficiency</w:t>
      </w:r>
    </w:p>
    <w:p>
      <w:r>
        <w:rPr>
          <w:b/>
        </w:rPr>
        <w:t xml:space="preserve">Proposed risk: </w:t>
      </w:r>
      <w:r>
        <w:t>Shifts in Globalisation</w:t>
      </w:r>
    </w:p>
    <w:p>
      <w:r>
        <w:rPr>
          <w:b/>
        </w:rPr>
        <w:t xml:space="preserve">Decision: </w:t>
      </w:r>
      <w:r>
        <w:t>CONDITIONAL</w:t>
      </w:r>
    </w:p>
    <w:p>
      <w:r>
        <w:rPr>
          <w:b/>
        </w:rPr>
        <w:t xml:space="preserve">Evidence assessment: </w:t>
      </w:r>
      <w:r>
        <w:t>Contract enforcement shapes trade patterns; this establishes a globalization connection but not a response to a specific shift or shock.</w:t>
      </w:r>
    </w:p>
    <w:p>
      <w:r>
        <w:rPr>
          <w:b/>
        </w:rPr>
        <w:t xml:space="preserve">Reference: </w:t>
      </w:r>
      <w:r>
        <w:t>Levchenko (2007), Institutional Quality and International Trade</w:t>
      </w:r>
    </w:p>
    <w:p>
      <w:r>
        <w:rPr>
          <w:b/>
        </w:rPr>
        <w:t xml:space="preserve">URL: </w:t>
      </w:r>
      <w:r>
        <w:t>https://doi.org/10.1111/j.1467-937X.2007.00435.x</w:t>
      </w:r>
    </w:p>
    <w:p>
      <w:r>
        <w:rPr>
          <w:b/>
        </w:rPr>
        <w:t xml:space="preserve">Implementation: </w:t>
      </w:r>
      <w:r>
        <w:t>Tag only when plan addresses international trade contracting or GVC participation.</w:t>
      </w:r>
    </w:p>
    <w:p>
      <w:pPr>
        <w:pStyle w:val="Heading2"/>
      </w:pPr>
      <w:r>
        <w:t>L3-174 — Savings commitment and accumulation</w:t>
      </w:r>
    </w:p>
    <w:p>
      <w:r>
        <w:rPr>
          <w:b/>
        </w:rPr>
        <w:t xml:space="preserve">Proposed risk: </w:t>
      </w:r>
      <w:r>
        <w:t>Demographic Shifts</w:t>
      </w:r>
    </w:p>
    <w:p>
      <w:r>
        <w:rPr>
          <w:b/>
        </w:rPr>
        <w:t xml:space="preserve">Decision: </w:t>
      </w:r>
      <w:r>
        <w:t>REJECT</w:t>
      </w:r>
    </w:p>
    <w:p>
      <w:r>
        <w:rPr>
          <w:b/>
        </w:rPr>
        <w:t xml:space="preserve">Evidence assessment: </w:t>
      </w:r>
      <w:r>
        <w:t>Commitment savings and lifecycle demographic savings are distinct mechanisms; general ageing evidence does not validate this particular risk link.</w:t>
      </w:r>
    </w:p>
    <w:p>
      <w:r>
        <w:rPr>
          <w:b/>
        </w:rPr>
        <w:t xml:space="preserve">Reference: </w:t>
      </w:r>
      <w:r>
        <w:t>Lee &amp; Mason (2010), lifecycle saving framework</w:t>
      </w:r>
    </w:p>
    <w:p>
      <w:r>
        <w:rPr>
          <w:b/>
        </w:rPr>
        <w:t xml:space="preserve">URL: </w:t>
      </w:r>
      <w:r>
        <w:t>https://www.nber.org/papers/w16492</w:t>
      </w:r>
    </w:p>
    <w:p>
      <w:r>
        <w:rPr>
          <w:b/>
        </w:rPr>
        <w:t xml:space="preserve">Implementation: </w:t>
      </w:r>
      <w:r>
        <w:t>Keep baseline; demographic saving channel belongs in lifecycle L3-102.</w:t>
      </w:r>
    </w:p>
    <w:p>
      <w:pPr>
        <w:pStyle w:val="Heading2"/>
      </w:pPr>
      <w:r>
        <w:t>L3-182 — Workplace safety enforcement</w:t>
      </w:r>
    </w:p>
    <w:p>
      <w:r>
        <w:rPr>
          <w:b/>
        </w:rPr>
        <w:t xml:space="preserve">Proposed risk: </w:t>
      </w:r>
      <w:r>
        <w:t>Technological Change</w:t>
      </w:r>
    </w:p>
    <w:p>
      <w:r>
        <w:rPr>
          <w:b/>
        </w:rPr>
        <w:t xml:space="preserve">Decision: </w:t>
      </w:r>
      <w:r>
        <w:t>SUPPORTED_CONDITIONAL</w:t>
      </w:r>
    </w:p>
    <w:p>
      <w:r>
        <w:rPr>
          <w:b/>
        </w:rPr>
        <w:t xml:space="preserve">Evidence assessment: </w:t>
      </w:r>
      <w:r>
        <w:t>ILO explicitly documents new workplace hazards and changing safety regulation associated with automation and digitalisation.</w:t>
      </w:r>
    </w:p>
    <w:p>
      <w:r>
        <w:rPr>
          <w:b/>
        </w:rPr>
        <w:t xml:space="preserve">Reference: </w:t>
      </w:r>
      <w:r>
        <w:t>ILO (2025), Revolutionizing health and safety</w:t>
      </w:r>
    </w:p>
    <w:p>
      <w:r>
        <w:rPr>
          <w:b/>
        </w:rPr>
        <w:t xml:space="preserve">URL: </w:t>
      </w:r>
      <w:r>
        <w:t>https://www.ilo.org/publications/revolutionizing-health-and-safety-role-ai-and-digitalization-work</w:t>
      </w:r>
    </w:p>
    <w:p>
      <w:r>
        <w:rPr>
          <w:b/>
        </w:rPr>
        <w:t xml:space="preserve">Implementation: </w:t>
      </w:r>
      <w:r>
        <w:t>Add Technological Change risk link only for technology-related OSH; do not assume all safety enforcement is technology-related.</w:t>
      </w:r>
    </w:p>
    <w:p>
      <w:pPr>
        <w:pStyle w:val="Heading2"/>
      </w:pPr>
      <w:r>
        <w:t>L3-195 — Titling, collateral and labour supply</w:t>
      </w:r>
    </w:p>
    <w:p>
      <w:r>
        <w:rPr>
          <w:b/>
        </w:rPr>
        <w:t xml:space="preserve">Proposed risk: </w:t>
      </w:r>
      <w:r>
        <w:t>Increased Polarisation</w:t>
      </w:r>
    </w:p>
    <w:p>
      <w:r>
        <w:rPr>
          <w:b/>
        </w:rPr>
        <w:t xml:space="preserve">Decision: </w:t>
      </w:r>
      <w:r>
        <w:t>REJECT</w:t>
      </w:r>
    </w:p>
    <w:p>
      <w:r>
        <w:rPr>
          <w:b/>
        </w:rPr>
        <w:t xml:space="preserve">Evidence assessment: </w:t>
      </w:r>
      <w:r>
        <w:t>Land conflict evidence exists but it is not evidence that titling/collateral/labour-supply mechanisms reduce political polarisation.</w:t>
      </w:r>
    </w:p>
    <w:p>
      <w:r>
        <w:rPr>
          <w:b/>
        </w:rPr>
        <w:t xml:space="preserve">Reference: </w:t>
      </w:r>
      <w:r>
        <w:t>Peters (2004); Albertus (2020)</w:t>
      </w:r>
    </w:p>
    <w:p>
      <w:r>
        <w:rPr>
          <w:b/>
        </w:rPr>
        <w:t xml:space="preserve">URL: </w:t>
      </w:r>
      <w:r>
        <w:t>https://doi.org/10.1111/j.1471-0366.2004.00080.x</w:t>
      </w:r>
    </w:p>
    <w:p>
      <w:r>
        <w:rPr>
          <w:b/>
        </w:rPr>
        <w:t xml:space="preserve">Implementation: </w:t>
      </w:r>
      <w:r>
        <w:t>Keep untagged; if land grievances explicitly appear, create secondary causal link to horizontal inequality rather than relabel titling.</w:t>
      </w:r>
    </w:p>
    <w:p>
      <w:pPr>
        <w:pStyle w:val="Heading2"/>
      </w:pPr>
      <w:r>
        <w:t>L3-212 — Coordination of complementary investments</w:t>
      </w:r>
    </w:p>
    <w:p>
      <w:r>
        <w:rPr>
          <w:b/>
        </w:rPr>
        <w:t xml:space="preserve">Proposed risk: </w:t>
      </w:r>
      <w:r>
        <w:t>Technological Change</w:t>
      </w:r>
    </w:p>
    <w:p>
      <w:r>
        <w:rPr>
          <w:b/>
        </w:rPr>
        <w:t xml:space="preserve">Decision: </w:t>
      </w:r>
      <w:r>
        <w:t>CONDITIONAL</w:t>
      </w:r>
    </w:p>
    <w:p>
      <w:r>
        <w:rPr>
          <w:b/>
        </w:rPr>
        <w:t xml:space="preserve">Evidence assessment: </w:t>
      </w:r>
      <w:r>
        <w:t>Complementary organisational and skill investments matter for IT adoption; broad investment coordination is not intrinsically technology-specific.</w:t>
      </w:r>
    </w:p>
    <w:p>
      <w:r>
        <w:rPr>
          <w:b/>
        </w:rPr>
        <w:t xml:space="preserve">Reference: </w:t>
      </w:r>
      <w:r>
        <w:t>Bresnahan et al. (2002)</w:t>
      </w:r>
    </w:p>
    <w:p>
      <w:r>
        <w:rPr>
          <w:b/>
        </w:rPr>
        <w:t xml:space="preserve">URL: </w:t>
      </w:r>
      <w:r>
        <w:t>https://www.nber.org/papers/w7136</w:t>
      </w:r>
    </w:p>
    <w:p>
      <w:r>
        <w:rPr>
          <w:b/>
        </w:rPr>
        <w:t xml:space="preserve">Implementation: </w:t>
      </w:r>
      <w:r>
        <w:t>Use Technological Change only for explicit coordinated investments in technological diffusion/adoption.</w:t>
      </w:r>
    </w:p>
    <w:p>
      <w:pPr>
        <w:pStyle w:val="Heading2"/>
      </w:pPr>
      <w:r>
        <w:t>L3-218 — Problem-driven iterative adaptation</w:t>
      </w:r>
    </w:p>
    <w:p>
      <w:r>
        <w:rPr>
          <w:b/>
        </w:rPr>
        <w:t xml:space="preserve">Proposed risk: </w:t>
      </w:r>
      <w:r>
        <w:t>Technological Change</w:t>
      </w:r>
    </w:p>
    <w:p>
      <w:r>
        <w:rPr>
          <w:b/>
        </w:rPr>
        <w:t xml:space="preserve">Decision: </w:t>
      </w:r>
      <w:r>
        <w:t>CONDITIONAL</w:t>
      </w:r>
    </w:p>
    <w:p>
      <w:r>
        <w:rPr>
          <w:b/>
        </w:rPr>
        <w:t xml:space="preserve">Evidence assessment: </w:t>
      </w:r>
      <w:r>
        <w:t>PDIA supports adaptive public problem-solving, not a uniquely technology-driven effect.</w:t>
      </w:r>
    </w:p>
    <w:p>
      <w:r>
        <w:rPr>
          <w:b/>
        </w:rPr>
        <w:t xml:space="preserve">Reference: </w:t>
      </w:r>
      <w:r>
        <w:t>Andrews, Pritchett &amp; Woolcock (2013)</w:t>
      </w:r>
    </w:p>
    <w:p>
      <w:r>
        <w:rPr>
          <w:b/>
        </w:rPr>
        <w:t xml:space="preserve">URL: </w:t>
      </w:r>
      <w:r>
        <w:t>https://doi.org/10.1016/j.worlddev.2013.05.011</w:t>
      </w:r>
    </w:p>
    <w:p>
      <w:r>
        <w:rPr>
          <w:b/>
        </w:rPr>
        <w:t xml:space="preserve">Implementation: </w:t>
      </w:r>
      <w:r>
        <w:t>Keep baseline unless adaptive digital/technology governance is explicitly described.</w:t>
      </w:r>
    </w:p>
    <w:p>
      <w:pPr>
        <w:pStyle w:val="Heading2"/>
      </w:pPr>
      <w:r>
        <w:t>L3-219 — Policy experimentation and diffusion</w:t>
      </w:r>
    </w:p>
    <w:p>
      <w:r>
        <w:rPr>
          <w:b/>
        </w:rPr>
        <w:t xml:space="preserve">Proposed risk: </w:t>
      </w:r>
      <w:r>
        <w:t>Technological Change</w:t>
      </w:r>
    </w:p>
    <w:p>
      <w:r>
        <w:rPr>
          <w:b/>
        </w:rPr>
        <w:t xml:space="preserve">Decision: </w:t>
      </w:r>
      <w:r>
        <w:t>CONDITIONAL</w:t>
      </w:r>
    </w:p>
    <w:p>
      <w:r>
        <w:rPr>
          <w:b/>
        </w:rPr>
        <w:t xml:space="preserve">Evidence assessment: </w:t>
      </w:r>
      <w:r>
        <w:t>Heilmann shows policy experimentation and diffusion in reform, not specifically technology-risk response.</w:t>
      </w:r>
    </w:p>
    <w:p>
      <w:r>
        <w:rPr>
          <w:b/>
        </w:rPr>
        <w:t xml:space="preserve">Reference: </w:t>
      </w:r>
      <w:r>
        <w:t>Heilmann (2008), Experimentation under Hierarchy</w:t>
      </w:r>
    </w:p>
    <w:p>
      <w:r>
        <w:rPr>
          <w:b/>
        </w:rPr>
        <w:t xml:space="preserve">URL: </w:t>
      </w:r>
      <w:r>
        <w:t>https://www.hks.harvard.edu/centers/cid/publications/faculty-working-papers/cid-working-paper-no.-172</w:t>
      </w:r>
    </w:p>
    <w:p>
      <w:r>
        <w:rPr>
          <w:b/>
        </w:rPr>
        <w:t xml:space="preserve">Implementation: </w:t>
      </w:r>
      <w:r>
        <w:t>Keep baseline; conditional tech tag for pilots of emerging technologies.</w:t>
      </w:r>
    </w:p>
    <w:p>
      <w:pPr>
        <w:pStyle w:val="Heading2"/>
      </w:pPr>
      <w:r>
        <w:t>L3-220 — Coordination across agencies and levels</w:t>
      </w:r>
    </w:p>
    <w:p>
      <w:r>
        <w:rPr>
          <w:b/>
        </w:rPr>
        <w:t xml:space="preserve">Proposed risk: </w:t>
      </w:r>
      <w:r>
        <w:t>Pandemics</w:t>
      </w:r>
    </w:p>
    <w:p>
      <w:r>
        <w:rPr>
          <w:b/>
        </w:rPr>
        <w:t xml:space="preserve">Decision: </w:t>
      </w:r>
      <w:r>
        <w:t>SUPPORTED_CONDITIONAL</w:t>
      </w:r>
    </w:p>
    <w:p>
      <w:r>
        <w:rPr>
          <w:b/>
        </w:rPr>
        <w:t xml:space="preserve">Evidence assessment: </w:t>
      </w:r>
      <w:r>
        <w:t>WHO directly identifies multisectoral coordination as necessary for pandemic preparedness and response.</w:t>
      </w:r>
    </w:p>
    <w:p>
      <w:r>
        <w:rPr>
          <w:b/>
        </w:rPr>
        <w:t xml:space="preserve">Reference: </w:t>
      </w:r>
      <w:r>
        <w:t>WHO (2020), Multisectoral preparedness coordination framework</w:t>
      </w:r>
    </w:p>
    <w:p>
      <w:r>
        <w:rPr>
          <w:b/>
        </w:rPr>
        <w:t xml:space="preserve">URL: </w:t>
      </w:r>
      <w:r>
        <w:t>https://www.who.int/publications/i/item/9789240006232</w:t>
      </w:r>
    </w:p>
    <w:p>
      <w:r>
        <w:rPr>
          <w:b/>
        </w:rPr>
        <w:t xml:space="preserve">Implementation: </w:t>
      </w:r>
      <w:r>
        <w:t>Approve pandemic link as general causal relevance; apply to observations only with explicit emergency/health coordination.</w:t>
      </w:r>
    </w:p>
    <w:p>
      <w:pPr>
        <w:pStyle w:val="Heading2"/>
      </w:pPr>
      <w:r>
        <w:t>L3-226 — Management autonomy and incentives in bureaucracy</w:t>
      </w:r>
    </w:p>
    <w:p>
      <w:r>
        <w:rPr>
          <w:b/>
        </w:rPr>
        <w:t xml:space="preserve">Proposed risk: </w:t>
      </w:r>
      <w:r>
        <w:t>Pandemics</w:t>
      </w:r>
    </w:p>
    <w:p>
      <w:r>
        <w:rPr>
          <w:b/>
        </w:rPr>
        <w:t xml:space="preserve">Decision: </w:t>
      </w:r>
      <w:r>
        <w:t>CONDITIONAL</w:t>
      </w:r>
    </w:p>
    <w:p>
      <w:r>
        <w:rPr>
          <w:b/>
        </w:rPr>
        <w:t xml:space="preserve">Evidence assessment: </w:t>
      </w:r>
      <w:r>
        <w:t>Health-system workforce and delivery management are relevant to pandemic preparedness, but management autonomy is not separately established as a pandemic-specific causal effect.</w:t>
      </w:r>
    </w:p>
    <w:p>
      <w:r>
        <w:rPr>
          <w:b/>
        </w:rPr>
        <w:t xml:space="preserve">Reference: </w:t>
      </w:r>
      <w:r>
        <w:t>WHO (2022), National workforce capacity for essential public health functions</w:t>
      </w:r>
    </w:p>
    <w:p>
      <w:r>
        <w:rPr>
          <w:b/>
        </w:rPr>
        <w:t xml:space="preserve">URL: </w:t>
      </w:r>
      <w:r>
        <w:t>https://www.who.int/publications/i/item/9789240050402</w:t>
      </w:r>
    </w:p>
    <w:p>
      <w:r>
        <w:rPr>
          <w:b/>
        </w:rPr>
        <w:t xml:space="preserve">Implementation: </w:t>
      </w:r>
      <w:r>
        <w:t>Do not auto-tag general bureaucracy; tag pandemic delivery management only where explicit.</w:t>
      </w:r>
    </w:p>
    <w:p>
      <w:pPr>
        <w:pStyle w:val="Heading2"/>
      </w:pPr>
      <w:r>
        <w:t>L3-231 — Intergovernmental transfers and fiscal effort</w:t>
      </w:r>
    </w:p>
    <w:p>
      <w:r>
        <w:rPr>
          <w:b/>
        </w:rPr>
        <w:t xml:space="preserve">Proposed risk: </w:t>
      </w:r>
      <w:r>
        <w:t>Democratic Backsliding</w:t>
      </w:r>
    </w:p>
    <w:p>
      <w:r>
        <w:rPr>
          <w:b/>
        </w:rPr>
        <w:t xml:space="preserve">Decision: </w:t>
      </w:r>
      <w:r>
        <w:t>SUPPORTED_CONDITIONAL</w:t>
      </w:r>
    </w:p>
    <w:p>
      <w:r>
        <w:rPr>
          <w:b/>
        </w:rPr>
        <w:t xml:space="preserve">Evidence assessment: </w:t>
      </w:r>
      <w:r>
        <w:t>Gervasoni finds transfer-dependent provincial rentierism associated with weaker democratic competition in Argentina; context-specific, not universal.</w:t>
      </w:r>
    </w:p>
    <w:p>
      <w:r>
        <w:rPr>
          <w:b/>
        </w:rPr>
        <w:t xml:space="preserve">Reference: </w:t>
      </w:r>
      <w:r>
        <w:t>Gervasoni (2010), World Politics</w:t>
      </w:r>
    </w:p>
    <w:p>
      <w:r>
        <w:rPr>
          <w:b/>
        </w:rPr>
        <w:t xml:space="preserve">URL: </w:t>
      </w:r>
      <w:r>
        <w:t>https://doi.org/10.1017/S0043887110000067</w:t>
      </w:r>
    </w:p>
    <w:p>
      <w:r>
        <w:rPr>
          <w:b/>
        </w:rPr>
        <w:t xml:space="preserve">Implementation: </w:t>
      </w:r>
      <w:r>
        <w:t>Allow Democratic Backsliding secondary risk relevance, limited to transfer-dependence and accountability design; not all fiscal transfers.</w:t>
      </w:r>
    </w:p>
    <w:p>
      <w:pPr>
        <w:pStyle w:val="Heading2"/>
      </w:pPr>
      <w:r>
        <w:t>L3-237 — Budget institutions and execution</w:t>
      </w:r>
    </w:p>
    <w:p>
      <w:r>
        <w:rPr>
          <w:b/>
        </w:rPr>
        <w:t xml:space="preserve">Proposed risk: </w:t>
      </w:r>
      <w:r>
        <w:t>Shifts in Globalisation</w:t>
      </w:r>
    </w:p>
    <w:p>
      <w:r>
        <w:rPr>
          <w:b/>
        </w:rPr>
        <w:t xml:space="preserve">Decision: </w:t>
      </w:r>
      <w:r>
        <w:t>CONDITIONAL</w:t>
      </w:r>
    </w:p>
    <w:p>
      <w:r>
        <w:rPr>
          <w:b/>
        </w:rPr>
        <w:t xml:space="preserve">Evidence assessment: </w:t>
      </w:r>
      <w:r>
        <w:t>Commodity shocks affect fiscal outcomes; budget execution as the specific mediating mechanism is not established by the located shock paper.</w:t>
      </w:r>
    </w:p>
    <w:p>
      <w:r>
        <w:rPr>
          <w:b/>
        </w:rPr>
        <w:t xml:space="preserve">Reference: </w:t>
      </w:r>
      <w:r>
        <w:t>Samake &amp; Spatafora (2012), IMF</w:t>
      </w:r>
    </w:p>
    <w:p>
      <w:r>
        <w:rPr>
          <w:b/>
        </w:rPr>
        <w:t xml:space="preserve">URL: </w:t>
      </w:r>
      <w:r>
        <w:t>https://www.imf.org/en/publications/wp/issues/2016/12/31/commodity-price-shocks-and-fiscal-outcomes-25892</w:t>
      </w:r>
    </w:p>
    <w:p>
      <w:r>
        <w:rPr>
          <w:b/>
        </w:rPr>
        <w:t xml:space="preserve">Implementation: </w:t>
      </w:r>
      <w:r>
        <w:t>Keep baseline; tag only when shock-contingent budget execution/fiscal response is explicit.</w:t>
      </w:r>
    </w:p>
    <w:p>
      <w:pPr>
        <w:pStyle w:val="Heading1"/>
      </w:pPr>
      <w:r>
        <w:t>C. Release and interpretation rules</w:t>
      </w:r>
    </w:p>
    <w:p>
      <w:pPr>
        <w:pStyle w:val="ListBullet"/>
      </w:pPr>
      <w:r>
        <w:t>A mechanism-risk link is not proof that a particular government strategy addresses the risk. Link to a plan observation only when its language and context support that interpretation.</w:t>
      </w:r>
    </w:p>
    <w:p>
      <w:pPr>
        <w:pStyle w:val="ListBullet"/>
      </w:pPr>
      <w:r>
        <w:t>SUPPORTED_CONDITIONAL establishes defensible literature relevance with a scope limitation; CONDITIONAL is not approval for blanket tagging; REJECT means the proposed link should not be added.</w:t>
      </w:r>
    </w:p>
    <w:p>
      <w:pPr>
        <w:pStyle w:val="ListBullet"/>
      </w:pPr>
      <w:r>
        <w:t>Maintain separate fields for canonical risk links, possible secondary risk relevance, cited evidence, confidence, and the reason for inclusion.</w:t>
      </w:r>
    </w:p>
    <w:p>
      <w:pPr>
        <w:pStyle w:val="ListBullet"/>
      </w:pPr>
      <w:r>
        <w:t>Risk links remain many-to-many; absence of a macro-risk link is permissible for baseline development mechanisms.</w:t>
      </w:r>
    </w:p>
    <w:p>
      <w:pPr>
        <w:pStyle w:val="ListBullet"/>
      </w:pPr>
      <w:r>
        <w:t>The original citations for individual L3 mechanisms may support the base causal channel while failing to support the risk-specific extension.</w:t>
      </w:r>
    </w:p>
    <w:sectPr w:rsidR="00FC693F" w:rsidRPr="0006063C" w:rsidSect="00034616">
      <w:pgSz w:w="12240" w:h="15840"/>
      <w:pgMar w:top="1037" w:right="1800" w:bottom="97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5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