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75BA1" w14:textId="77777777" w:rsidR="001C35E5" w:rsidRPr="001C35E5" w:rsidRDefault="001C35E5" w:rsidP="001C35E5">
      <w:pPr>
        <w:rPr>
          <w:rFonts w:ascii="Times New Roman" w:hAnsi="Times New Roman" w:cs="Times New Roman"/>
        </w:rPr>
      </w:pPr>
      <w:r w:rsidRPr="001C35E5">
        <w:rPr>
          <w:rFonts w:ascii="Times New Roman" w:hAnsi="Times New Roman" w:cs="Times New Roman"/>
          <w:b/>
          <w:bCs/>
        </w:rPr>
        <w:t>1. Presentación de la Institución</w:t>
      </w:r>
    </w:p>
    <w:p w14:paraId="4002FE2A" w14:textId="77777777" w:rsidR="001C35E5" w:rsidRPr="001C35E5" w:rsidRDefault="001C35E5" w:rsidP="001C35E5">
      <w:pPr>
        <w:rPr>
          <w:rFonts w:ascii="Times New Roman" w:hAnsi="Times New Roman" w:cs="Times New Roman"/>
        </w:rPr>
      </w:pPr>
      <w:r w:rsidRPr="001C35E5">
        <w:rPr>
          <w:rFonts w:ascii="Times New Roman" w:hAnsi="Times New Roman" w:cs="Times New Roman"/>
        </w:rPr>
        <w:t>Nuestra institución es el Hospital General de Tunja, una entidad de salud pública ubicada en Tunja, Departamento de Boyacá, Colombia. Nos dedicamos a brindar atención médica integral, ofreciendo servicios en diversas especialidades médicas y quirúrgicas, incluyendo unidades de cuidados intensivos, urgencias, pediatría y neonatología. Nuestro compromiso es proporcionar atención de alta calidad a la comunidad, respaldada por tecnología médica avanzada y un equipo de profesionales altamente capacitados.</w:t>
      </w:r>
    </w:p>
    <w:p w14:paraId="4DDD6075" w14:textId="77777777" w:rsidR="001C35E5" w:rsidRPr="001C35E5" w:rsidRDefault="001C35E5" w:rsidP="001C35E5">
      <w:pPr>
        <w:rPr>
          <w:rFonts w:ascii="Times New Roman" w:hAnsi="Times New Roman" w:cs="Times New Roman"/>
        </w:rPr>
      </w:pPr>
      <w:r w:rsidRPr="001C35E5">
        <w:rPr>
          <w:rFonts w:ascii="Times New Roman" w:hAnsi="Times New Roman" w:cs="Times New Roman"/>
          <w:b/>
          <w:bCs/>
        </w:rPr>
        <w:t>2. Evaluación Tecnológica y Comparativa de Monitores Multiparámetros</w:t>
      </w:r>
    </w:p>
    <w:p w14:paraId="40CA421E" w14:textId="77777777" w:rsidR="001C35E5" w:rsidRPr="001C35E5" w:rsidRDefault="001C35E5" w:rsidP="001C35E5">
      <w:pPr>
        <w:rPr>
          <w:rFonts w:ascii="Times New Roman" w:hAnsi="Times New Roman" w:cs="Times New Roman"/>
        </w:rPr>
      </w:pPr>
      <w:r w:rsidRPr="001C35E5">
        <w:rPr>
          <w:rFonts w:ascii="Times New Roman" w:hAnsi="Times New Roman" w:cs="Times New Roman"/>
        </w:rPr>
        <w:t>Para la selección de monitores multiparámetros, se han considerado modelos reconocidos en el mercado colombiano, evaluando sus características técnicas y funcionales:</w:t>
      </w:r>
    </w:p>
    <w:p w14:paraId="2A575C08" w14:textId="77777777" w:rsidR="001C35E5" w:rsidRPr="001C35E5" w:rsidRDefault="001C35E5" w:rsidP="001C35E5">
      <w:pPr>
        <w:numPr>
          <w:ilvl w:val="0"/>
          <w:numId w:val="1"/>
        </w:numPr>
        <w:rPr>
          <w:rFonts w:ascii="Times New Roman" w:hAnsi="Times New Roman" w:cs="Times New Roman"/>
        </w:rPr>
      </w:pPr>
      <w:r w:rsidRPr="001C35E5">
        <w:rPr>
          <w:rFonts w:ascii="Times New Roman" w:hAnsi="Times New Roman" w:cs="Times New Roman"/>
          <w:b/>
          <w:bCs/>
        </w:rPr>
        <w:t>EDAN iM50</w:t>
      </w:r>
      <w:r w:rsidRPr="001C35E5">
        <w:rPr>
          <w:rFonts w:ascii="Times New Roman" w:hAnsi="Times New Roman" w:cs="Times New Roman"/>
        </w:rPr>
        <w:t xml:space="preserve">: Este monitor ofrece monitoreo de ECG, </w:t>
      </w:r>
      <w:proofErr w:type="spellStart"/>
      <w:r w:rsidRPr="001C35E5">
        <w:rPr>
          <w:rFonts w:ascii="Times New Roman" w:hAnsi="Times New Roman" w:cs="Times New Roman"/>
        </w:rPr>
        <w:t>SpO</w:t>
      </w:r>
      <w:proofErr w:type="spellEnd"/>
      <w:r w:rsidRPr="001C35E5">
        <w:rPr>
          <w:rFonts w:ascii="Times New Roman" w:hAnsi="Times New Roman" w:cs="Times New Roman"/>
        </w:rPr>
        <w:t xml:space="preserve">₂, RESP, NIBP, 2-TEMP y PR. Cuenta con oximetría con modulación de tono por pulso, análisis de arritmias, batería de litio recargable y capacidad de conexión a una central de monitoreo. Además, detecta marcapasos y posee una función de llamada de enfermería. </w:t>
      </w:r>
    </w:p>
    <w:p w14:paraId="74725E4B" w14:textId="77777777" w:rsidR="001C35E5" w:rsidRPr="001C35E5" w:rsidRDefault="001C35E5" w:rsidP="001C35E5">
      <w:pPr>
        <w:rPr>
          <w:rFonts w:ascii="Times New Roman" w:hAnsi="Times New Roman" w:cs="Times New Roman"/>
        </w:rPr>
      </w:pPr>
      <w:hyperlink r:id="rId5" w:tgtFrame="_blank" w:history="1">
        <w:proofErr w:type="spellStart"/>
        <w:r w:rsidRPr="001C35E5">
          <w:rPr>
            <w:rStyle w:val="Hipervnculo"/>
            <w:rFonts w:ascii="Times New Roman" w:hAnsi="Times New Roman" w:cs="Times New Roman"/>
          </w:rPr>
          <w:t>Medicolsa</w:t>
        </w:r>
        <w:proofErr w:type="spellEnd"/>
      </w:hyperlink>
    </w:p>
    <w:p w14:paraId="629856B5" w14:textId="77777777" w:rsidR="001C35E5" w:rsidRPr="001C35E5" w:rsidRDefault="001C35E5" w:rsidP="001C35E5">
      <w:pPr>
        <w:numPr>
          <w:ilvl w:val="0"/>
          <w:numId w:val="1"/>
        </w:numPr>
        <w:rPr>
          <w:rFonts w:ascii="Times New Roman" w:hAnsi="Times New Roman" w:cs="Times New Roman"/>
        </w:rPr>
      </w:pPr>
      <w:r w:rsidRPr="001C35E5">
        <w:rPr>
          <w:rFonts w:ascii="Times New Roman" w:hAnsi="Times New Roman" w:cs="Times New Roman"/>
          <w:b/>
          <w:bCs/>
        </w:rPr>
        <w:t>EDAN iM70</w:t>
      </w:r>
      <w:r w:rsidRPr="001C35E5">
        <w:rPr>
          <w:rFonts w:ascii="Times New Roman" w:hAnsi="Times New Roman" w:cs="Times New Roman"/>
        </w:rPr>
        <w:t xml:space="preserve">: Este modelo incluye monitoreo de ECG, </w:t>
      </w:r>
      <w:proofErr w:type="spellStart"/>
      <w:r w:rsidRPr="001C35E5">
        <w:rPr>
          <w:rFonts w:ascii="Times New Roman" w:hAnsi="Times New Roman" w:cs="Times New Roman"/>
        </w:rPr>
        <w:t>SpO</w:t>
      </w:r>
      <w:proofErr w:type="spellEnd"/>
      <w:r w:rsidRPr="001C35E5">
        <w:rPr>
          <w:rFonts w:ascii="Times New Roman" w:hAnsi="Times New Roman" w:cs="Times New Roman"/>
        </w:rPr>
        <w:t xml:space="preserve">₂, RESP, NIBP, 2-TEMP, PR, 2-IBP y CO₂. Presenta una pantalla táctil de 12.1 pulgadas, análisis de arritmias, batería de litio interna y conexión bidireccional con la central de monitoreo. También detecta marcapasos y permite la llamada de enfermería. </w:t>
      </w:r>
    </w:p>
    <w:p w14:paraId="09435A83" w14:textId="77777777" w:rsidR="001C35E5" w:rsidRPr="001C35E5" w:rsidRDefault="001C35E5" w:rsidP="001C35E5">
      <w:pPr>
        <w:rPr>
          <w:rFonts w:ascii="Times New Roman" w:hAnsi="Times New Roman" w:cs="Times New Roman"/>
        </w:rPr>
      </w:pPr>
      <w:hyperlink r:id="rId6" w:tgtFrame="_blank" w:history="1">
        <w:proofErr w:type="spellStart"/>
        <w:r w:rsidRPr="001C35E5">
          <w:rPr>
            <w:rStyle w:val="Hipervnculo"/>
            <w:rFonts w:ascii="Times New Roman" w:hAnsi="Times New Roman" w:cs="Times New Roman"/>
          </w:rPr>
          <w:t>Electromédica</w:t>
        </w:r>
        <w:proofErr w:type="spellEnd"/>
      </w:hyperlink>
    </w:p>
    <w:p w14:paraId="77F4179F" w14:textId="77777777" w:rsidR="001C35E5" w:rsidRDefault="001C35E5" w:rsidP="001C35E5">
      <w:pPr>
        <w:numPr>
          <w:ilvl w:val="0"/>
          <w:numId w:val="1"/>
        </w:numPr>
        <w:rPr>
          <w:rFonts w:ascii="Times New Roman" w:hAnsi="Times New Roman" w:cs="Times New Roman"/>
        </w:rPr>
      </w:pPr>
      <w:r w:rsidRPr="001C35E5">
        <w:rPr>
          <w:rFonts w:ascii="Times New Roman" w:hAnsi="Times New Roman" w:cs="Times New Roman"/>
          <w:b/>
          <w:bCs/>
        </w:rPr>
        <w:t>EDAN X12</w:t>
      </w:r>
      <w:r w:rsidRPr="001C35E5">
        <w:rPr>
          <w:rFonts w:ascii="Times New Roman" w:hAnsi="Times New Roman" w:cs="Times New Roman"/>
        </w:rPr>
        <w:t xml:space="preserve">: Este monitor dispone de una pantalla táctil de 12.1 pulgadas y permite la visualización de hasta 13 formas de onda. Monitorea ECG, </w:t>
      </w:r>
      <w:proofErr w:type="spellStart"/>
      <w:r w:rsidRPr="001C35E5">
        <w:rPr>
          <w:rFonts w:ascii="Times New Roman" w:hAnsi="Times New Roman" w:cs="Times New Roman"/>
        </w:rPr>
        <w:t>SpO</w:t>
      </w:r>
      <w:proofErr w:type="spellEnd"/>
      <w:r w:rsidRPr="001C35E5">
        <w:rPr>
          <w:rFonts w:ascii="Times New Roman" w:hAnsi="Times New Roman" w:cs="Times New Roman"/>
        </w:rPr>
        <w:t xml:space="preserve">₂, RESP, NIBP, 2-TEMP e IBP. Incluye oximetría con modulación de tono por pulso, análisis de arritmias, batería de litio recargable y comunicación bidireccional con la central de monitoreo. También detecta marcapasos y cuenta con función de llamada de enfermería. </w:t>
      </w:r>
    </w:p>
    <w:p w14:paraId="1D19C3C9" w14:textId="77777777" w:rsidR="001C35E5" w:rsidRDefault="001C35E5" w:rsidP="001C35E5">
      <w:pPr>
        <w:rPr>
          <w:rFonts w:ascii="Times New Roman" w:hAnsi="Times New Roman" w:cs="Times New Roman"/>
        </w:rPr>
      </w:pPr>
    </w:p>
    <w:p w14:paraId="3349F96F" w14:textId="77777777" w:rsidR="001C35E5" w:rsidRDefault="001C35E5" w:rsidP="001C35E5">
      <w:pPr>
        <w:rPr>
          <w:rFonts w:ascii="Times New Roman" w:hAnsi="Times New Roman" w:cs="Times New Roman"/>
        </w:rPr>
      </w:pPr>
    </w:p>
    <w:p w14:paraId="7DC7592E" w14:textId="77777777" w:rsidR="001C35E5" w:rsidRDefault="001C35E5" w:rsidP="001C35E5">
      <w:pPr>
        <w:rPr>
          <w:rFonts w:ascii="Times New Roman" w:hAnsi="Times New Roman" w:cs="Times New Roman"/>
        </w:rPr>
      </w:pPr>
    </w:p>
    <w:p w14:paraId="378799B1" w14:textId="77777777" w:rsidR="001C35E5" w:rsidRDefault="001C35E5" w:rsidP="001C35E5">
      <w:pPr>
        <w:rPr>
          <w:rFonts w:ascii="Times New Roman" w:hAnsi="Times New Roman" w:cs="Times New Roman"/>
        </w:rPr>
      </w:pPr>
    </w:p>
    <w:p w14:paraId="2E6DC7D8" w14:textId="77777777" w:rsidR="001C35E5" w:rsidRDefault="001C35E5" w:rsidP="001C35E5">
      <w:pPr>
        <w:rPr>
          <w:rFonts w:ascii="Times New Roman" w:hAnsi="Times New Roman" w:cs="Times New Roman"/>
        </w:rPr>
      </w:pPr>
    </w:p>
    <w:p w14:paraId="28A7AE3F" w14:textId="77777777" w:rsidR="001C35E5" w:rsidRDefault="001C35E5" w:rsidP="001C35E5">
      <w:pPr>
        <w:rPr>
          <w:rFonts w:ascii="Times New Roman" w:hAnsi="Times New Roman" w:cs="Times New Roman"/>
        </w:rPr>
      </w:pPr>
    </w:p>
    <w:p w14:paraId="46927CD3" w14:textId="77777777" w:rsidR="001C35E5" w:rsidRPr="001C35E5" w:rsidRDefault="001C35E5" w:rsidP="001C35E5">
      <w:pPr>
        <w:rPr>
          <w:rFonts w:ascii="Times New Roman" w:hAnsi="Times New Roman" w:cs="Times New Roman"/>
        </w:rPr>
      </w:pPr>
    </w:p>
    <w:p w14:paraId="6A3B2C44" w14:textId="77777777" w:rsidR="001C35E5" w:rsidRPr="001C35E5" w:rsidRDefault="001C35E5" w:rsidP="001C35E5">
      <w:pPr>
        <w:rPr>
          <w:rFonts w:ascii="Times New Roman" w:hAnsi="Times New Roman" w:cs="Times New Roman"/>
        </w:rPr>
      </w:pPr>
      <w:hyperlink r:id="rId7" w:tgtFrame="_blank" w:history="1">
        <w:proofErr w:type="spellStart"/>
        <w:r w:rsidRPr="001C35E5">
          <w:rPr>
            <w:rStyle w:val="Hipervnculo"/>
            <w:rFonts w:ascii="Times New Roman" w:hAnsi="Times New Roman" w:cs="Times New Roman"/>
          </w:rPr>
          <w:t>Bioequipos</w:t>
        </w:r>
        <w:proofErr w:type="spellEnd"/>
      </w:hyperlink>
    </w:p>
    <w:tbl>
      <w:tblPr>
        <w:tblStyle w:val="Tablaconcuadrcula"/>
        <w:tblW w:w="0" w:type="auto"/>
        <w:tblLook w:val="04A0" w:firstRow="1" w:lastRow="0" w:firstColumn="1" w:lastColumn="0" w:noHBand="0" w:noVBand="1"/>
      </w:tblPr>
      <w:tblGrid>
        <w:gridCol w:w="1766"/>
        <w:gridCol w:w="2127"/>
        <w:gridCol w:w="2767"/>
        <w:gridCol w:w="2168"/>
      </w:tblGrid>
      <w:tr w:rsidR="001C35E5" w:rsidRPr="001C35E5" w14:paraId="4276E19C" w14:textId="77777777" w:rsidTr="001C35E5">
        <w:trPr>
          <w:trHeight w:val="312"/>
        </w:trPr>
        <w:tc>
          <w:tcPr>
            <w:tcW w:w="3220" w:type="dxa"/>
            <w:noWrap/>
            <w:hideMark/>
          </w:tcPr>
          <w:p w14:paraId="386EAC2F"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Característica</w:t>
            </w:r>
          </w:p>
        </w:tc>
        <w:tc>
          <w:tcPr>
            <w:tcW w:w="3920" w:type="dxa"/>
            <w:noWrap/>
            <w:hideMark/>
          </w:tcPr>
          <w:p w14:paraId="08D0675C"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EDAN iM50</w:t>
            </w:r>
          </w:p>
        </w:tc>
        <w:tc>
          <w:tcPr>
            <w:tcW w:w="5160" w:type="dxa"/>
            <w:noWrap/>
            <w:hideMark/>
          </w:tcPr>
          <w:p w14:paraId="3E19F78F"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EDAN iM70</w:t>
            </w:r>
          </w:p>
        </w:tc>
        <w:tc>
          <w:tcPr>
            <w:tcW w:w="4000" w:type="dxa"/>
            <w:noWrap/>
            <w:hideMark/>
          </w:tcPr>
          <w:p w14:paraId="053AF934"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EDAN X12</w:t>
            </w:r>
          </w:p>
        </w:tc>
      </w:tr>
      <w:tr w:rsidR="001C35E5" w:rsidRPr="001C35E5" w14:paraId="016C5A35" w14:textId="77777777" w:rsidTr="001C35E5">
        <w:trPr>
          <w:trHeight w:val="312"/>
        </w:trPr>
        <w:tc>
          <w:tcPr>
            <w:tcW w:w="3220" w:type="dxa"/>
            <w:noWrap/>
            <w:hideMark/>
          </w:tcPr>
          <w:p w14:paraId="65B9ED78"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Parámetros monitoreados</w:t>
            </w:r>
          </w:p>
        </w:tc>
        <w:tc>
          <w:tcPr>
            <w:tcW w:w="3920" w:type="dxa"/>
            <w:noWrap/>
            <w:hideMark/>
          </w:tcPr>
          <w:p w14:paraId="28D7FF98"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 xml:space="preserve">ECG, </w:t>
            </w:r>
            <w:proofErr w:type="spellStart"/>
            <w:r w:rsidRPr="001C35E5">
              <w:rPr>
                <w:rFonts w:ascii="Times New Roman" w:hAnsi="Times New Roman" w:cs="Times New Roman"/>
                <w:b/>
                <w:bCs/>
              </w:rPr>
              <w:t>SpO</w:t>
            </w:r>
            <w:proofErr w:type="spellEnd"/>
            <w:r w:rsidRPr="001C35E5">
              <w:rPr>
                <w:rFonts w:ascii="Times New Roman" w:hAnsi="Times New Roman" w:cs="Times New Roman"/>
                <w:b/>
                <w:bCs/>
              </w:rPr>
              <w:t>₂, RESP, NIBP, 2-TEMP, PR</w:t>
            </w:r>
          </w:p>
        </w:tc>
        <w:tc>
          <w:tcPr>
            <w:tcW w:w="5160" w:type="dxa"/>
            <w:noWrap/>
            <w:hideMark/>
          </w:tcPr>
          <w:p w14:paraId="01752C62"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 xml:space="preserve">ECG, </w:t>
            </w:r>
            <w:proofErr w:type="spellStart"/>
            <w:r w:rsidRPr="001C35E5">
              <w:rPr>
                <w:rFonts w:ascii="Times New Roman" w:hAnsi="Times New Roman" w:cs="Times New Roman"/>
                <w:b/>
                <w:bCs/>
              </w:rPr>
              <w:t>SpO</w:t>
            </w:r>
            <w:proofErr w:type="spellEnd"/>
            <w:r w:rsidRPr="001C35E5">
              <w:rPr>
                <w:rFonts w:ascii="Times New Roman" w:hAnsi="Times New Roman" w:cs="Times New Roman"/>
                <w:b/>
                <w:bCs/>
              </w:rPr>
              <w:t>₂, RESP, NIBP, 2-TEMP, PR, 2-IBP, CO₂</w:t>
            </w:r>
          </w:p>
        </w:tc>
        <w:tc>
          <w:tcPr>
            <w:tcW w:w="4000" w:type="dxa"/>
            <w:noWrap/>
            <w:hideMark/>
          </w:tcPr>
          <w:p w14:paraId="07346DFE"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 xml:space="preserve">ECG, </w:t>
            </w:r>
            <w:proofErr w:type="spellStart"/>
            <w:r w:rsidRPr="001C35E5">
              <w:rPr>
                <w:rFonts w:ascii="Times New Roman" w:hAnsi="Times New Roman" w:cs="Times New Roman"/>
                <w:b/>
                <w:bCs/>
              </w:rPr>
              <w:t>SpO</w:t>
            </w:r>
            <w:proofErr w:type="spellEnd"/>
            <w:r w:rsidRPr="001C35E5">
              <w:rPr>
                <w:rFonts w:ascii="Times New Roman" w:hAnsi="Times New Roman" w:cs="Times New Roman"/>
                <w:b/>
                <w:bCs/>
              </w:rPr>
              <w:t>₂, RESP, NIBP, 2-TEMP, IBP</w:t>
            </w:r>
          </w:p>
        </w:tc>
      </w:tr>
      <w:tr w:rsidR="001C35E5" w:rsidRPr="001C35E5" w14:paraId="085F914C" w14:textId="77777777" w:rsidTr="001C35E5">
        <w:trPr>
          <w:trHeight w:val="312"/>
        </w:trPr>
        <w:tc>
          <w:tcPr>
            <w:tcW w:w="3220" w:type="dxa"/>
            <w:noWrap/>
            <w:hideMark/>
          </w:tcPr>
          <w:p w14:paraId="34CD5352"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Pantalla</w:t>
            </w:r>
          </w:p>
        </w:tc>
        <w:tc>
          <w:tcPr>
            <w:tcW w:w="3920" w:type="dxa"/>
            <w:noWrap/>
            <w:hideMark/>
          </w:tcPr>
          <w:p w14:paraId="44024B7E"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No especificado</w:t>
            </w:r>
          </w:p>
        </w:tc>
        <w:tc>
          <w:tcPr>
            <w:tcW w:w="5160" w:type="dxa"/>
            <w:noWrap/>
            <w:hideMark/>
          </w:tcPr>
          <w:p w14:paraId="2716EE2D"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12.1" táctil</w:t>
            </w:r>
          </w:p>
        </w:tc>
        <w:tc>
          <w:tcPr>
            <w:tcW w:w="4000" w:type="dxa"/>
            <w:noWrap/>
            <w:hideMark/>
          </w:tcPr>
          <w:p w14:paraId="35BC002D"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12.1" táctil</w:t>
            </w:r>
          </w:p>
        </w:tc>
      </w:tr>
      <w:tr w:rsidR="001C35E5" w:rsidRPr="001C35E5" w14:paraId="6D7F0E0C" w14:textId="77777777" w:rsidTr="001C35E5">
        <w:trPr>
          <w:trHeight w:val="312"/>
        </w:trPr>
        <w:tc>
          <w:tcPr>
            <w:tcW w:w="3220" w:type="dxa"/>
            <w:noWrap/>
            <w:hideMark/>
          </w:tcPr>
          <w:p w14:paraId="5555C702"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Análisis de arritmias</w:t>
            </w:r>
          </w:p>
        </w:tc>
        <w:tc>
          <w:tcPr>
            <w:tcW w:w="3920" w:type="dxa"/>
            <w:noWrap/>
            <w:hideMark/>
          </w:tcPr>
          <w:p w14:paraId="56C06C9F"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5160" w:type="dxa"/>
            <w:noWrap/>
            <w:hideMark/>
          </w:tcPr>
          <w:p w14:paraId="2F13E1E2"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4000" w:type="dxa"/>
            <w:noWrap/>
            <w:hideMark/>
          </w:tcPr>
          <w:p w14:paraId="28CD77F1"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r>
      <w:tr w:rsidR="001C35E5" w:rsidRPr="001C35E5" w14:paraId="22A69A2A" w14:textId="77777777" w:rsidTr="001C35E5">
        <w:trPr>
          <w:trHeight w:val="312"/>
        </w:trPr>
        <w:tc>
          <w:tcPr>
            <w:tcW w:w="3220" w:type="dxa"/>
            <w:noWrap/>
            <w:hideMark/>
          </w:tcPr>
          <w:p w14:paraId="3E4AD6B9"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Batería recargable</w:t>
            </w:r>
          </w:p>
        </w:tc>
        <w:tc>
          <w:tcPr>
            <w:tcW w:w="3920" w:type="dxa"/>
            <w:noWrap/>
            <w:hideMark/>
          </w:tcPr>
          <w:p w14:paraId="581C547E"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5160" w:type="dxa"/>
            <w:noWrap/>
            <w:hideMark/>
          </w:tcPr>
          <w:p w14:paraId="51E24515"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4000" w:type="dxa"/>
            <w:noWrap/>
            <w:hideMark/>
          </w:tcPr>
          <w:p w14:paraId="70811243"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r>
      <w:tr w:rsidR="001C35E5" w:rsidRPr="001C35E5" w14:paraId="27E7AA58" w14:textId="77777777" w:rsidTr="001C35E5">
        <w:trPr>
          <w:trHeight w:val="312"/>
        </w:trPr>
        <w:tc>
          <w:tcPr>
            <w:tcW w:w="3220" w:type="dxa"/>
            <w:noWrap/>
            <w:hideMark/>
          </w:tcPr>
          <w:p w14:paraId="6C75009E"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Conexión a central de monitoreo</w:t>
            </w:r>
          </w:p>
        </w:tc>
        <w:tc>
          <w:tcPr>
            <w:tcW w:w="3920" w:type="dxa"/>
            <w:noWrap/>
            <w:hideMark/>
          </w:tcPr>
          <w:p w14:paraId="5FA5928D"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5160" w:type="dxa"/>
            <w:noWrap/>
            <w:hideMark/>
          </w:tcPr>
          <w:p w14:paraId="6DF40D73"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4000" w:type="dxa"/>
            <w:noWrap/>
            <w:hideMark/>
          </w:tcPr>
          <w:p w14:paraId="46B4FA00"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r>
      <w:tr w:rsidR="001C35E5" w:rsidRPr="001C35E5" w14:paraId="1A75FEAF" w14:textId="77777777" w:rsidTr="001C35E5">
        <w:trPr>
          <w:trHeight w:val="312"/>
        </w:trPr>
        <w:tc>
          <w:tcPr>
            <w:tcW w:w="3220" w:type="dxa"/>
            <w:noWrap/>
            <w:hideMark/>
          </w:tcPr>
          <w:p w14:paraId="7D7EAB5C"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Detección de marcapasos</w:t>
            </w:r>
          </w:p>
        </w:tc>
        <w:tc>
          <w:tcPr>
            <w:tcW w:w="3920" w:type="dxa"/>
            <w:noWrap/>
            <w:hideMark/>
          </w:tcPr>
          <w:p w14:paraId="7F80EDDE"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5160" w:type="dxa"/>
            <w:noWrap/>
            <w:hideMark/>
          </w:tcPr>
          <w:p w14:paraId="10324AD2"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4000" w:type="dxa"/>
            <w:noWrap/>
            <w:hideMark/>
          </w:tcPr>
          <w:p w14:paraId="746D26CA"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r>
      <w:tr w:rsidR="001C35E5" w:rsidRPr="001C35E5" w14:paraId="118F53FA" w14:textId="77777777" w:rsidTr="001C35E5">
        <w:trPr>
          <w:trHeight w:val="312"/>
        </w:trPr>
        <w:tc>
          <w:tcPr>
            <w:tcW w:w="3220" w:type="dxa"/>
            <w:noWrap/>
            <w:hideMark/>
          </w:tcPr>
          <w:p w14:paraId="3BB8373F"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Llamada de enfermería</w:t>
            </w:r>
          </w:p>
        </w:tc>
        <w:tc>
          <w:tcPr>
            <w:tcW w:w="3920" w:type="dxa"/>
            <w:noWrap/>
            <w:hideMark/>
          </w:tcPr>
          <w:p w14:paraId="252C4427"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5160" w:type="dxa"/>
            <w:noWrap/>
            <w:hideMark/>
          </w:tcPr>
          <w:p w14:paraId="2E3F64F6"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c>
          <w:tcPr>
            <w:tcW w:w="4000" w:type="dxa"/>
            <w:noWrap/>
            <w:hideMark/>
          </w:tcPr>
          <w:p w14:paraId="5110EE35" w14:textId="77777777" w:rsidR="001C35E5" w:rsidRPr="001C35E5" w:rsidRDefault="001C35E5" w:rsidP="001C35E5">
            <w:pPr>
              <w:rPr>
                <w:rFonts w:ascii="Times New Roman" w:hAnsi="Times New Roman" w:cs="Times New Roman"/>
                <w:b/>
                <w:bCs/>
              </w:rPr>
            </w:pPr>
            <w:r w:rsidRPr="001C35E5">
              <w:rPr>
                <w:rFonts w:ascii="Times New Roman" w:hAnsi="Times New Roman" w:cs="Times New Roman"/>
                <w:b/>
                <w:bCs/>
              </w:rPr>
              <w:t>Sí</w:t>
            </w:r>
          </w:p>
        </w:tc>
      </w:tr>
    </w:tbl>
    <w:p w14:paraId="0CE01A76" w14:textId="77777777" w:rsidR="001C35E5" w:rsidRPr="001C35E5" w:rsidRDefault="001C35E5" w:rsidP="001C35E5">
      <w:pPr>
        <w:rPr>
          <w:rFonts w:ascii="Times New Roman" w:hAnsi="Times New Roman" w:cs="Times New Roman"/>
        </w:rPr>
      </w:pPr>
      <w:r w:rsidRPr="001C35E5">
        <w:rPr>
          <w:rFonts w:ascii="Times New Roman" w:hAnsi="Times New Roman" w:cs="Times New Roman"/>
          <w:b/>
          <w:bCs/>
        </w:rPr>
        <w:t>3. Evaluación Tecnológica y Comparativa de Centrales de Monitoreo</w:t>
      </w:r>
    </w:p>
    <w:p w14:paraId="0C63EB46" w14:textId="77777777" w:rsidR="001C35E5" w:rsidRDefault="001C35E5" w:rsidP="001C35E5">
      <w:pPr>
        <w:rPr>
          <w:rFonts w:ascii="Times New Roman" w:hAnsi="Times New Roman" w:cs="Times New Roman"/>
        </w:rPr>
      </w:pPr>
      <w:r w:rsidRPr="001C35E5">
        <w:rPr>
          <w:rFonts w:ascii="Times New Roman" w:hAnsi="Times New Roman" w:cs="Times New Roman"/>
        </w:rPr>
        <w:t>Aunque las especificaciones detalladas de las centrales de monitoreo no se encuentran en las fuentes consultadas, es esencial que la central seleccionada sea compatible con los monitores multiparámetros elegidos. Debe permitir la visualización en tiempo real de todos los parámetros monitoreados, ofrecer alarmas configurables, almacenamiento de datos y capacidad de integración con el sistema de información hospitalaria (HIS). Además, la central debe ser escalable para adaptarse a futuras expansiones y actualizaciones tecnológicas.</w:t>
      </w:r>
    </w:p>
    <w:p w14:paraId="27BD7AE7" w14:textId="77777777" w:rsidR="001C35E5" w:rsidRDefault="001C35E5" w:rsidP="001C35E5">
      <w:pPr>
        <w:rPr>
          <w:rFonts w:ascii="Times New Roman" w:hAnsi="Times New Roman" w:cs="Times New Roman"/>
        </w:rPr>
      </w:pPr>
    </w:p>
    <w:p w14:paraId="2170859A" w14:textId="77777777" w:rsidR="001C35E5" w:rsidRDefault="001C35E5" w:rsidP="001C35E5">
      <w:pPr>
        <w:rPr>
          <w:rFonts w:ascii="Times New Roman" w:hAnsi="Times New Roman" w:cs="Times New Roman"/>
        </w:rPr>
      </w:pPr>
    </w:p>
    <w:p w14:paraId="58C1CFC8" w14:textId="77777777" w:rsidR="001C35E5" w:rsidRDefault="001C35E5" w:rsidP="001C35E5">
      <w:pPr>
        <w:rPr>
          <w:rFonts w:ascii="Times New Roman" w:hAnsi="Times New Roman" w:cs="Times New Roman"/>
        </w:rPr>
      </w:pPr>
    </w:p>
    <w:p w14:paraId="0ADBB631" w14:textId="77777777" w:rsidR="001C35E5" w:rsidRDefault="001C35E5" w:rsidP="001C35E5">
      <w:pPr>
        <w:rPr>
          <w:rFonts w:ascii="Times New Roman" w:hAnsi="Times New Roman" w:cs="Times New Roman"/>
        </w:rPr>
      </w:pPr>
    </w:p>
    <w:p w14:paraId="736AFD3C" w14:textId="77777777" w:rsidR="001C35E5" w:rsidRDefault="001C35E5" w:rsidP="001C35E5">
      <w:pPr>
        <w:rPr>
          <w:rFonts w:ascii="Times New Roman" w:hAnsi="Times New Roman" w:cs="Times New Roman"/>
        </w:rPr>
      </w:pPr>
    </w:p>
    <w:p w14:paraId="12DE4FE4" w14:textId="77777777" w:rsidR="001C35E5" w:rsidRDefault="001C35E5" w:rsidP="001C35E5">
      <w:pPr>
        <w:rPr>
          <w:rFonts w:ascii="Times New Roman" w:hAnsi="Times New Roman" w:cs="Times New Roman"/>
        </w:rPr>
      </w:pPr>
    </w:p>
    <w:p w14:paraId="5256CA7B" w14:textId="77777777" w:rsidR="001C35E5" w:rsidRDefault="001C35E5" w:rsidP="001C35E5">
      <w:pPr>
        <w:rPr>
          <w:rFonts w:ascii="Times New Roman" w:hAnsi="Times New Roman" w:cs="Times New Roman"/>
        </w:rPr>
      </w:pPr>
    </w:p>
    <w:p w14:paraId="0AC7D918" w14:textId="77777777" w:rsidR="001C35E5" w:rsidRDefault="001C35E5" w:rsidP="001C35E5">
      <w:pPr>
        <w:rPr>
          <w:rFonts w:ascii="Times New Roman" w:hAnsi="Times New Roman" w:cs="Times New Roman"/>
        </w:rPr>
      </w:pPr>
    </w:p>
    <w:p w14:paraId="46323825" w14:textId="77777777" w:rsidR="001C35E5" w:rsidRDefault="001C35E5" w:rsidP="001C35E5">
      <w:pPr>
        <w:rPr>
          <w:rFonts w:ascii="Times New Roman" w:hAnsi="Times New Roman" w:cs="Times New Roman"/>
        </w:rPr>
      </w:pPr>
    </w:p>
    <w:p w14:paraId="23651205" w14:textId="77777777" w:rsidR="001C35E5" w:rsidRPr="001C35E5" w:rsidRDefault="001C35E5" w:rsidP="001C35E5">
      <w:pPr>
        <w:rPr>
          <w:rFonts w:ascii="Times New Roman" w:hAnsi="Times New Roman" w:cs="Times New Roman"/>
        </w:rPr>
      </w:pPr>
    </w:p>
    <w:p w14:paraId="70459E10" w14:textId="77777777" w:rsidR="001C35E5" w:rsidRPr="001C35E5" w:rsidRDefault="001C35E5" w:rsidP="001C35E5">
      <w:pPr>
        <w:rPr>
          <w:rFonts w:ascii="Times New Roman" w:hAnsi="Times New Roman" w:cs="Times New Roman"/>
        </w:rPr>
      </w:pPr>
      <w:r w:rsidRPr="001C35E5">
        <w:rPr>
          <w:rFonts w:ascii="Times New Roman" w:hAnsi="Times New Roman" w:cs="Times New Roman"/>
          <w:b/>
          <w:bCs/>
        </w:rPr>
        <w:lastRenderedPageBreak/>
        <w:t>4. Análisis de Proveedores</w:t>
      </w:r>
    </w:p>
    <w:p w14:paraId="39CDD083" w14:textId="77777777" w:rsidR="001C35E5" w:rsidRPr="001C35E5" w:rsidRDefault="001C35E5" w:rsidP="001C35E5">
      <w:pPr>
        <w:rPr>
          <w:rFonts w:ascii="Times New Roman" w:hAnsi="Times New Roman" w:cs="Times New Roman"/>
        </w:rPr>
      </w:pPr>
      <w:r w:rsidRPr="001C35E5">
        <w:rPr>
          <w:rFonts w:ascii="Times New Roman" w:hAnsi="Times New Roman" w:cs="Times New Roman"/>
        </w:rPr>
        <w:t>Para garantizar una adquisición eficiente y conforme a la normativa vigente, se han consultado las siguientes fuentes:</w:t>
      </w:r>
    </w:p>
    <w:p w14:paraId="27C4FF71" w14:textId="77777777" w:rsidR="001C35E5" w:rsidRPr="001C35E5" w:rsidRDefault="001C35E5" w:rsidP="001C35E5">
      <w:pPr>
        <w:numPr>
          <w:ilvl w:val="0"/>
          <w:numId w:val="2"/>
        </w:numPr>
        <w:rPr>
          <w:rFonts w:ascii="Times New Roman" w:hAnsi="Times New Roman" w:cs="Times New Roman"/>
        </w:rPr>
      </w:pPr>
      <w:r w:rsidRPr="001C35E5">
        <w:rPr>
          <w:rFonts w:ascii="Times New Roman" w:hAnsi="Times New Roman" w:cs="Times New Roman"/>
          <w:b/>
          <w:bCs/>
        </w:rPr>
        <w:t>SECOP II</w:t>
      </w:r>
      <w:r w:rsidRPr="001C35E5">
        <w:rPr>
          <w:rFonts w:ascii="Times New Roman" w:hAnsi="Times New Roman" w:cs="Times New Roman"/>
        </w:rPr>
        <w:t xml:space="preserve">: El Sistema Electrónico para la Contratación Pública en Colombia permite consultar procesos de contratación actuales y anteriores, facilitando la identificación de proveedores que han suministrado equipos similares a otras instituciones de salud. </w:t>
      </w:r>
    </w:p>
    <w:p w14:paraId="4B886153" w14:textId="77777777" w:rsidR="001C35E5" w:rsidRPr="001C35E5" w:rsidRDefault="001C35E5" w:rsidP="001C35E5">
      <w:pPr>
        <w:rPr>
          <w:rFonts w:ascii="Times New Roman" w:hAnsi="Times New Roman" w:cs="Times New Roman"/>
        </w:rPr>
      </w:pPr>
      <w:hyperlink r:id="rId8" w:tgtFrame="_blank" w:history="1">
        <w:r w:rsidRPr="001C35E5">
          <w:rPr>
            <w:rStyle w:val="Hipervnculo"/>
            <w:rFonts w:ascii="Times New Roman" w:hAnsi="Times New Roman" w:cs="Times New Roman"/>
          </w:rPr>
          <w:t>Colombia Compra</w:t>
        </w:r>
      </w:hyperlink>
    </w:p>
    <w:p w14:paraId="4A0A8DBC" w14:textId="77777777" w:rsidR="001C35E5" w:rsidRPr="001C35E5" w:rsidRDefault="001C35E5" w:rsidP="001C35E5">
      <w:pPr>
        <w:numPr>
          <w:ilvl w:val="0"/>
          <w:numId w:val="2"/>
        </w:numPr>
        <w:rPr>
          <w:rFonts w:ascii="Times New Roman" w:hAnsi="Times New Roman" w:cs="Times New Roman"/>
        </w:rPr>
      </w:pPr>
      <w:r w:rsidRPr="001C35E5">
        <w:rPr>
          <w:rFonts w:ascii="Times New Roman" w:hAnsi="Times New Roman" w:cs="Times New Roman"/>
          <w:b/>
          <w:bCs/>
        </w:rPr>
        <w:t>Colombia Licita</w:t>
      </w:r>
      <w:r w:rsidRPr="001C35E5">
        <w:rPr>
          <w:rFonts w:ascii="Times New Roman" w:hAnsi="Times New Roman" w:cs="Times New Roman"/>
        </w:rPr>
        <w:t xml:space="preserve">: Esta plataforma ofrece herramientas de consulta de procesos y licitaciones del SECOP I y II, permitiendo búsquedas de texto abierto y ordenación de resultados por cuantía, lo que facilita la identificación de proveedores potenciales. </w:t>
      </w:r>
    </w:p>
    <w:p w14:paraId="11EC444F" w14:textId="77777777" w:rsidR="001C35E5" w:rsidRPr="001C35E5" w:rsidRDefault="001C35E5" w:rsidP="001C35E5">
      <w:pPr>
        <w:rPr>
          <w:rFonts w:ascii="Times New Roman" w:hAnsi="Times New Roman" w:cs="Times New Roman"/>
        </w:rPr>
      </w:pPr>
      <w:hyperlink r:id="rId9" w:tgtFrame="_blank" w:history="1">
        <w:r w:rsidRPr="001C35E5">
          <w:rPr>
            <w:rStyle w:val="Hipervnculo"/>
            <w:rFonts w:ascii="Times New Roman" w:hAnsi="Times New Roman" w:cs="Times New Roman"/>
          </w:rPr>
          <w:t>colombialicita.com</w:t>
        </w:r>
      </w:hyperlink>
    </w:p>
    <w:p w14:paraId="30054A77" w14:textId="77777777" w:rsidR="001C35E5" w:rsidRPr="001C35E5" w:rsidRDefault="001C35E5" w:rsidP="001C35E5">
      <w:pPr>
        <w:rPr>
          <w:rFonts w:ascii="Times New Roman" w:hAnsi="Times New Roman" w:cs="Times New Roman"/>
        </w:rPr>
      </w:pPr>
      <w:r w:rsidRPr="001C35E5">
        <w:rPr>
          <w:rFonts w:ascii="Times New Roman" w:hAnsi="Times New Roman" w:cs="Times New Roman"/>
          <w:b/>
          <w:bCs/>
        </w:rPr>
        <w:t>Proveedores Identificados</w:t>
      </w:r>
      <w:r w:rsidRPr="001C35E5">
        <w:rPr>
          <w:rFonts w:ascii="Times New Roman" w:hAnsi="Times New Roman" w:cs="Times New Roman"/>
        </w:rPr>
        <w:t>:</w:t>
      </w:r>
    </w:p>
    <w:p w14:paraId="560680CF" w14:textId="77777777" w:rsidR="001C35E5" w:rsidRPr="001C35E5" w:rsidRDefault="001C35E5" w:rsidP="001C35E5">
      <w:pPr>
        <w:numPr>
          <w:ilvl w:val="0"/>
          <w:numId w:val="3"/>
        </w:numPr>
        <w:rPr>
          <w:rFonts w:ascii="Times New Roman" w:hAnsi="Times New Roman" w:cs="Times New Roman"/>
        </w:rPr>
      </w:pPr>
      <w:r w:rsidRPr="001C35E5">
        <w:rPr>
          <w:rFonts w:ascii="Times New Roman" w:hAnsi="Times New Roman" w:cs="Times New Roman"/>
          <w:b/>
          <w:bCs/>
        </w:rPr>
        <w:t>Techno In</w:t>
      </w:r>
      <w:r w:rsidRPr="001C35E5">
        <w:rPr>
          <w:rFonts w:ascii="Times New Roman" w:hAnsi="Times New Roman" w:cs="Times New Roman"/>
        </w:rPr>
        <w:t xml:space="preserve">: Distribuidor autorizado de equipos EDAN en Colombia, ofreciendo modelos como el iM50 y el iM70. </w:t>
      </w:r>
    </w:p>
    <w:p w14:paraId="52886D46" w14:textId="77777777" w:rsidR="001C35E5" w:rsidRPr="001C35E5" w:rsidRDefault="001C35E5" w:rsidP="001C35E5">
      <w:pPr>
        <w:rPr>
          <w:rFonts w:ascii="Times New Roman" w:hAnsi="Times New Roman" w:cs="Times New Roman"/>
        </w:rPr>
      </w:pPr>
      <w:hyperlink r:id="rId10" w:tgtFrame="_blank" w:history="1">
        <w:proofErr w:type="spellStart"/>
        <w:r w:rsidRPr="001C35E5">
          <w:rPr>
            <w:rStyle w:val="Hipervnculo"/>
            <w:rFonts w:ascii="Times New Roman" w:hAnsi="Times New Roman" w:cs="Times New Roman"/>
          </w:rPr>
          <w:t>Technoin</w:t>
        </w:r>
        <w:proofErr w:type="spellEnd"/>
      </w:hyperlink>
    </w:p>
    <w:p w14:paraId="56D4FBBB" w14:textId="77777777" w:rsidR="001C35E5" w:rsidRPr="001C35E5" w:rsidRDefault="001C35E5" w:rsidP="001C35E5">
      <w:pPr>
        <w:numPr>
          <w:ilvl w:val="0"/>
          <w:numId w:val="3"/>
        </w:numPr>
        <w:rPr>
          <w:rFonts w:ascii="Times New Roman" w:hAnsi="Times New Roman" w:cs="Times New Roman"/>
        </w:rPr>
      </w:pPr>
      <w:proofErr w:type="spellStart"/>
      <w:r w:rsidRPr="001C35E5">
        <w:rPr>
          <w:rFonts w:ascii="Times New Roman" w:hAnsi="Times New Roman" w:cs="Times New Roman"/>
          <w:b/>
          <w:bCs/>
        </w:rPr>
        <w:t>Bioequipos</w:t>
      </w:r>
      <w:proofErr w:type="spellEnd"/>
      <w:r w:rsidRPr="001C35E5">
        <w:rPr>
          <w:rFonts w:ascii="Times New Roman" w:hAnsi="Times New Roman" w:cs="Times New Roman"/>
        </w:rPr>
        <w:t xml:space="preserve">: Empresa que comercializa el monitor EDAN X12, entre otros equipos biomédicos. </w:t>
      </w:r>
    </w:p>
    <w:p w14:paraId="43CA24F4" w14:textId="77777777" w:rsidR="001C35E5" w:rsidRPr="001C35E5" w:rsidRDefault="001C35E5" w:rsidP="001C35E5">
      <w:pPr>
        <w:rPr>
          <w:rFonts w:ascii="Times New Roman" w:hAnsi="Times New Roman" w:cs="Times New Roman"/>
        </w:rPr>
      </w:pPr>
      <w:hyperlink r:id="rId11" w:tgtFrame="_blank" w:history="1">
        <w:proofErr w:type="spellStart"/>
        <w:r w:rsidRPr="001C35E5">
          <w:rPr>
            <w:rStyle w:val="Hipervnculo"/>
            <w:rFonts w:ascii="Times New Roman" w:hAnsi="Times New Roman" w:cs="Times New Roman"/>
          </w:rPr>
          <w:t>Bioequipos</w:t>
        </w:r>
        <w:proofErr w:type="spellEnd"/>
      </w:hyperlink>
    </w:p>
    <w:p w14:paraId="3CF86D52" w14:textId="77777777" w:rsidR="001C35E5" w:rsidRPr="001C35E5" w:rsidRDefault="001C35E5" w:rsidP="001C35E5">
      <w:pPr>
        <w:numPr>
          <w:ilvl w:val="0"/>
          <w:numId w:val="3"/>
        </w:numPr>
        <w:rPr>
          <w:rFonts w:ascii="Times New Roman" w:hAnsi="Times New Roman" w:cs="Times New Roman"/>
        </w:rPr>
      </w:pPr>
      <w:proofErr w:type="spellStart"/>
      <w:r w:rsidRPr="001C35E5">
        <w:rPr>
          <w:rFonts w:ascii="Times New Roman" w:hAnsi="Times New Roman" w:cs="Times New Roman"/>
          <w:b/>
          <w:bCs/>
        </w:rPr>
        <w:t>Medicolsa</w:t>
      </w:r>
      <w:proofErr w:type="spellEnd"/>
      <w:r w:rsidRPr="001C35E5">
        <w:rPr>
          <w:rFonts w:ascii="Times New Roman" w:hAnsi="Times New Roman" w:cs="Times New Roman"/>
        </w:rPr>
        <w:t xml:space="preserve">: Proveedor que ofrece una variedad de monitores multiparámetros EDAN, incluyendo los modelos iM50, iM70 y X12. </w:t>
      </w:r>
    </w:p>
    <w:p w14:paraId="2186C3F9" w14:textId="77777777" w:rsidR="001C35E5" w:rsidRPr="001C35E5" w:rsidRDefault="001C35E5" w:rsidP="001C35E5">
      <w:pPr>
        <w:rPr>
          <w:rFonts w:ascii="Times New Roman" w:hAnsi="Times New Roman" w:cs="Times New Roman"/>
        </w:rPr>
      </w:pPr>
      <w:hyperlink r:id="rId12" w:tgtFrame="_blank" w:history="1">
        <w:proofErr w:type="spellStart"/>
        <w:r w:rsidRPr="001C35E5">
          <w:rPr>
            <w:rStyle w:val="Hipervnculo"/>
            <w:rFonts w:ascii="Times New Roman" w:hAnsi="Times New Roman" w:cs="Times New Roman"/>
          </w:rPr>
          <w:t>Medicolsa</w:t>
        </w:r>
        <w:proofErr w:type="spellEnd"/>
      </w:hyperlink>
    </w:p>
    <w:p w14:paraId="4A18F17C" w14:textId="77777777" w:rsidR="001C35E5" w:rsidRPr="001C35E5" w:rsidRDefault="001C35E5" w:rsidP="001C35E5">
      <w:pPr>
        <w:rPr>
          <w:rFonts w:ascii="Times New Roman" w:hAnsi="Times New Roman" w:cs="Times New Roman"/>
        </w:rPr>
      </w:pPr>
      <w:r w:rsidRPr="001C35E5">
        <w:rPr>
          <w:rFonts w:ascii="Times New Roman" w:hAnsi="Times New Roman" w:cs="Times New Roman"/>
          <w:b/>
          <w:bCs/>
        </w:rPr>
        <w:t>Conclusión</w:t>
      </w:r>
    </w:p>
    <w:p w14:paraId="39F50D92" w14:textId="77777777" w:rsidR="001C35E5" w:rsidRPr="001C35E5" w:rsidRDefault="001C35E5" w:rsidP="001C35E5">
      <w:pPr>
        <w:rPr>
          <w:rFonts w:ascii="Times New Roman" w:hAnsi="Times New Roman" w:cs="Times New Roman"/>
        </w:rPr>
      </w:pPr>
      <w:r w:rsidRPr="001C35E5">
        <w:rPr>
          <w:rFonts w:ascii="Times New Roman" w:hAnsi="Times New Roman" w:cs="Times New Roman"/>
        </w:rPr>
        <w:t>La adquisición de monitores multiparámetros y una central de monitoreo debe basarse en una evaluación detallada de las necesidades clínicas de nuestra institución, garantizando la compatibilidad entre dispositivos y la integración con los sistemas existentes. Se recomienda realizar una licitación pública a través de plataformas oficiales como el SECOP II, asegurando transparencia en el proceso y la selección de proveedores confiables que cumplan con los estándares de calidad requeridos.</w:t>
      </w:r>
    </w:p>
    <w:p w14:paraId="25C76F87" w14:textId="7771218E" w:rsidR="001C35E5" w:rsidRPr="001C35E5" w:rsidRDefault="001C35E5">
      <w:pPr>
        <w:rPr>
          <w:rFonts w:ascii="Times New Roman" w:hAnsi="Times New Roman" w:cs="Times New Roman"/>
        </w:rPr>
      </w:pPr>
      <w:r w:rsidRPr="001C35E5">
        <w:rPr>
          <w:rFonts w:ascii="Times New Roman" w:hAnsi="Times New Roman" w:cs="Times New Roman"/>
        </w:rPr>
        <w:t>Es fundamental que los equipos seleccionados cuenten con soporte técnico local, disponibilidad de repuestos y capacitación para el personal clínico, garantizando así una implementación exitosa y un mantenimiento adecuado a lo largo del tiempo.</w:t>
      </w:r>
    </w:p>
    <w:sectPr w:rsidR="001C35E5" w:rsidRPr="001C35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3261A"/>
    <w:multiLevelType w:val="multilevel"/>
    <w:tmpl w:val="D1A0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A1524"/>
    <w:multiLevelType w:val="multilevel"/>
    <w:tmpl w:val="678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F6A4B"/>
    <w:multiLevelType w:val="multilevel"/>
    <w:tmpl w:val="1C7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824137">
    <w:abstractNumId w:val="2"/>
  </w:num>
  <w:num w:numId="2" w16cid:durableId="1788084405">
    <w:abstractNumId w:val="0"/>
  </w:num>
  <w:num w:numId="3" w16cid:durableId="979190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E5"/>
    <w:rsid w:val="001C35E5"/>
    <w:rsid w:val="008C1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1A55"/>
  <w15:chartTrackingRefBased/>
  <w15:docId w15:val="{B33D824A-090C-4596-91D9-F268E24B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3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35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35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35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35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35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35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35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35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35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35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35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35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35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35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35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35E5"/>
    <w:rPr>
      <w:rFonts w:eastAsiaTheme="majorEastAsia" w:cstheme="majorBidi"/>
      <w:color w:val="272727" w:themeColor="text1" w:themeTint="D8"/>
    </w:rPr>
  </w:style>
  <w:style w:type="paragraph" w:styleId="Ttulo">
    <w:name w:val="Title"/>
    <w:basedOn w:val="Normal"/>
    <w:next w:val="Normal"/>
    <w:link w:val="TtuloCar"/>
    <w:uiPriority w:val="10"/>
    <w:qFormat/>
    <w:rsid w:val="001C3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35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35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35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35E5"/>
    <w:pPr>
      <w:spacing w:before="160"/>
      <w:jc w:val="center"/>
    </w:pPr>
    <w:rPr>
      <w:i/>
      <w:iCs/>
      <w:color w:val="404040" w:themeColor="text1" w:themeTint="BF"/>
    </w:rPr>
  </w:style>
  <w:style w:type="character" w:customStyle="1" w:styleId="CitaCar">
    <w:name w:val="Cita Car"/>
    <w:basedOn w:val="Fuentedeprrafopredeter"/>
    <w:link w:val="Cita"/>
    <w:uiPriority w:val="29"/>
    <w:rsid w:val="001C35E5"/>
    <w:rPr>
      <w:i/>
      <w:iCs/>
      <w:color w:val="404040" w:themeColor="text1" w:themeTint="BF"/>
    </w:rPr>
  </w:style>
  <w:style w:type="paragraph" w:styleId="Prrafodelista">
    <w:name w:val="List Paragraph"/>
    <w:basedOn w:val="Normal"/>
    <w:uiPriority w:val="34"/>
    <w:qFormat/>
    <w:rsid w:val="001C35E5"/>
    <w:pPr>
      <w:ind w:left="720"/>
      <w:contextualSpacing/>
    </w:pPr>
  </w:style>
  <w:style w:type="character" w:styleId="nfasisintenso">
    <w:name w:val="Intense Emphasis"/>
    <w:basedOn w:val="Fuentedeprrafopredeter"/>
    <w:uiPriority w:val="21"/>
    <w:qFormat/>
    <w:rsid w:val="001C35E5"/>
    <w:rPr>
      <w:i/>
      <w:iCs/>
      <w:color w:val="0F4761" w:themeColor="accent1" w:themeShade="BF"/>
    </w:rPr>
  </w:style>
  <w:style w:type="paragraph" w:styleId="Citadestacada">
    <w:name w:val="Intense Quote"/>
    <w:basedOn w:val="Normal"/>
    <w:next w:val="Normal"/>
    <w:link w:val="CitadestacadaCar"/>
    <w:uiPriority w:val="30"/>
    <w:qFormat/>
    <w:rsid w:val="001C3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35E5"/>
    <w:rPr>
      <w:i/>
      <w:iCs/>
      <w:color w:val="0F4761" w:themeColor="accent1" w:themeShade="BF"/>
    </w:rPr>
  </w:style>
  <w:style w:type="character" w:styleId="Referenciaintensa">
    <w:name w:val="Intense Reference"/>
    <w:basedOn w:val="Fuentedeprrafopredeter"/>
    <w:uiPriority w:val="32"/>
    <w:qFormat/>
    <w:rsid w:val="001C35E5"/>
    <w:rPr>
      <w:b/>
      <w:bCs/>
      <w:smallCaps/>
      <w:color w:val="0F4761" w:themeColor="accent1" w:themeShade="BF"/>
      <w:spacing w:val="5"/>
    </w:rPr>
  </w:style>
  <w:style w:type="character" w:styleId="Hipervnculo">
    <w:name w:val="Hyperlink"/>
    <w:basedOn w:val="Fuentedeprrafopredeter"/>
    <w:uiPriority w:val="99"/>
    <w:unhideWhenUsed/>
    <w:rsid w:val="001C35E5"/>
    <w:rPr>
      <w:color w:val="467886" w:themeColor="hyperlink"/>
      <w:u w:val="single"/>
    </w:rPr>
  </w:style>
  <w:style w:type="character" w:styleId="Mencinsinresolver">
    <w:name w:val="Unresolved Mention"/>
    <w:basedOn w:val="Fuentedeprrafopredeter"/>
    <w:uiPriority w:val="99"/>
    <w:semiHidden/>
    <w:unhideWhenUsed/>
    <w:rsid w:val="001C35E5"/>
    <w:rPr>
      <w:color w:val="605E5C"/>
      <w:shd w:val="clear" w:color="auto" w:fill="E1DFDD"/>
    </w:rPr>
  </w:style>
  <w:style w:type="table" w:styleId="Tablaconcuadrcula">
    <w:name w:val="Table Grid"/>
    <w:basedOn w:val="Tablanormal"/>
    <w:uiPriority w:val="39"/>
    <w:rsid w:val="001C3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511785">
      <w:bodyDiv w:val="1"/>
      <w:marLeft w:val="0"/>
      <w:marRight w:val="0"/>
      <w:marTop w:val="0"/>
      <w:marBottom w:val="0"/>
      <w:divBdr>
        <w:top w:val="none" w:sz="0" w:space="0" w:color="auto"/>
        <w:left w:val="none" w:sz="0" w:space="0" w:color="auto"/>
        <w:bottom w:val="none" w:sz="0" w:space="0" w:color="auto"/>
        <w:right w:val="none" w:sz="0" w:space="0" w:color="auto"/>
      </w:divBdr>
    </w:div>
    <w:div w:id="1640066164">
      <w:bodyDiv w:val="1"/>
      <w:marLeft w:val="0"/>
      <w:marRight w:val="0"/>
      <w:marTop w:val="0"/>
      <w:marBottom w:val="0"/>
      <w:divBdr>
        <w:top w:val="none" w:sz="0" w:space="0" w:color="auto"/>
        <w:left w:val="none" w:sz="0" w:space="0" w:color="auto"/>
        <w:bottom w:val="none" w:sz="0" w:space="0" w:color="auto"/>
        <w:right w:val="none" w:sz="0" w:space="0" w:color="auto"/>
      </w:divBdr>
    </w:div>
    <w:div w:id="1735544893">
      <w:bodyDiv w:val="1"/>
      <w:marLeft w:val="0"/>
      <w:marRight w:val="0"/>
      <w:marTop w:val="0"/>
      <w:marBottom w:val="0"/>
      <w:divBdr>
        <w:top w:val="none" w:sz="0" w:space="0" w:color="auto"/>
        <w:left w:val="none" w:sz="0" w:space="0" w:color="auto"/>
        <w:bottom w:val="none" w:sz="0" w:space="0" w:color="auto"/>
        <w:right w:val="none" w:sz="0" w:space="0" w:color="auto"/>
      </w:divBdr>
      <w:divsChild>
        <w:div w:id="1687562075">
          <w:marLeft w:val="0"/>
          <w:marRight w:val="0"/>
          <w:marTop w:val="0"/>
          <w:marBottom w:val="0"/>
          <w:divBdr>
            <w:top w:val="none" w:sz="0" w:space="0" w:color="auto"/>
            <w:left w:val="none" w:sz="0" w:space="0" w:color="auto"/>
            <w:bottom w:val="none" w:sz="0" w:space="0" w:color="auto"/>
            <w:right w:val="none" w:sz="0" w:space="0" w:color="auto"/>
          </w:divBdr>
        </w:div>
        <w:div w:id="1642927891">
          <w:marLeft w:val="0"/>
          <w:marRight w:val="0"/>
          <w:marTop w:val="0"/>
          <w:marBottom w:val="0"/>
          <w:divBdr>
            <w:top w:val="none" w:sz="0" w:space="0" w:color="auto"/>
            <w:left w:val="none" w:sz="0" w:space="0" w:color="auto"/>
            <w:bottom w:val="none" w:sz="0" w:space="0" w:color="auto"/>
            <w:right w:val="none" w:sz="0" w:space="0" w:color="auto"/>
          </w:divBdr>
        </w:div>
        <w:div w:id="965552223">
          <w:marLeft w:val="0"/>
          <w:marRight w:val="0"/>
          <w:marTop w:val="0"/>
          <w:marBottom w:val="0"/>
          <w:divBdr>
            <w:top w:val="none" w:sz="0" w:space="0" w:color="auto"/>
            <w:left w:val="none" w:sz="0" w:space="0" w:color="auto"/>
            <w:bottom w:val="none" w:sz="0" w:space="0" w:color="auto"/>
            <w:right w:val="none" w:sz="0" w:space="0" w:color="auto"/>
          </w:divBdr>
        </w:div>
        <w:div w:id="1046104264">
          <w:marLeft w:val="0"/>
          <w:marRight w:val="0"/>
          <w:marTop w:val="0"/>
          <w:marBottom w:val="0"/>
          <w:divBdr>
            <w:top w:val="none" w:sz="0" w:space="0" w:color="auto"/>
            <w:left w:val="none" w:sz="0" w:space="0" w:color="auto"/>
            <w:bottom w:val="none" w:sz="0" w:space="0" w:color="auto"/>
            <w:right w:val="none" w:sz="0" w:space="0" w:color="auto"/>
          </w:divBdr>
        </w:div>
        <w:div w:id="742921089">
          <w:marLeft w:val="0"/>
          <w:marRight w:val="0"/>
          <w:marTop w:val="0"/>
          <w:marBottom w:val="0"/>
          <w:divBdr>
            <w:top w:val="none" w:sz="0" w:space="0" w:color="auto"/>
            <w:left w:val="none" w:sz="0" w:space="0" w:color="auto"/>
            <w:bottom w:val="none" w:sz="0" w:space="0" w:color="auto"/>
            <w:right w:val="none" w:sz="0" w:space="0" w:color="auto"/>
          </w:divBdr>
        </w:div>
        <w:div w:id="1697005911">
          <w:marLeft w:val="0"/>
          <w:marRight w:val="0"/>
          <w:marTop w:val="0"/>
          <w:marBottom w:val="0"/>
          <w:divBdr>
            <w:top w:val="none" w:sz="0" w:space="0" w:color="auto"/>
            <w:left w:val="none" w:sz="0" w:space="0" w:color="auto"/>
            <w:bottom w:val="none" w:sz="0" w:space="0" w:color="auto"/>
            <w:right w:val="none" w:sz="0" w:space="0" w:color="auto"/>
          </w:divBdr>
        </w:div>
        <w:div w:id="1169518021">
          <w:marLeft w:val="0"/>
          <w:marRight w:val="0"/>
          <w:marTop w:val="0"/>
          <w:marBottom w:val="0"/>
          <w:divBdr>
            <w:top w:val="none" w:sz="0" w:space="0" w:color="auto"/>
            <w:left w:val="none" w:sz="0" w:space="0" w:color="auto"/>
            <w:bottom w:val="none" w:sz="0" w:space="0" w:color="auto"/>
            <w:right w:val="none" w:sz="0" w:space="0" w:color="auto"/>
          </w:divBdr>
        </w:div>
        <w:div w:id="1354384855">
          <w:marLeft w:val="0"/>
          <w:marRight w:val="0"/>
          <w:marTop w:val="0"/>
          <w:marBottom w:val="0"/>
          <w:divBdr>
            <w:top w:val="none" w:sz="0" w:space="0" w:color="auto"/>
            <w:left w:val="none" w:sz="0" w:space="0" w:color="auto"/>
            <w:bottom w:val="none" w:sz="0" w:space="0" w:color="auto"/>
            <w:right w:val="none" w:sz="0" w:space="0" w:color="auto"/>
          </w:divBdr>
        </w:div>
      </w:divsChild>
    </w:div>
    <w:div w:id="1975407817">
      <w:bodyDiv w:val="1"/>
      <w:marLeft w:val="0"/>
      <w:marRight w:val="0"/>
      <w:marTop w:val="0"/>
      <w:marBottom w:val="0"/>
      <w:divBdr>
        <w:top w:val="none" w:sz="0" w:space="0" w:color="auto"/>
        <w:left w:val="none" w:sz="0" w:space="0" w:color="auto"/>
        <w:bottom w:val="none" w:sz="0" w:space="0" w:color="auto"/>
        <w:right w:val="none" w:sz="0" w:space="0" w:color="auto"/>
      </w:divBdr>
      <w:divsChild>
        <w:div w:id="2111118676">
          <w:marLeft w:val="0"/>
          <w:marRight w:val="0"/>
          <w:marTop w:val="0"/>
          <w:marBottom w:val="0"/>
          <w:divBdr>
            <w:top w:val="none" w:sz="0" w:space="0" w:color="auto"/>
            <w:left w:val="none" w:sz="0" w:space="0" w:color="auto"/>
            <w:bottom w:val="none" w:sz="0" w:space="0" w:color="auto"/>
            <w:right w:val="none" w:sz="0" w:space="0" w:color="auto"/>
          </w:divBdr>
        </w:div>
        <w:div w:id="893928487">
          <w:marLeft w:val="0"/>
          <w:marRight w:val="0"/>
          <w:marTop w:val="0"/>
          <w:marBottom w:val="0"/>
          <w:divBdr>
            <w:top w:val="none" w:sz="0" w:space="0" w:color="auto"/>
            <w:left w:val="none" w:sz="0" w:space="0" w:color="auto"/>
            <w:bottom w:val="none" w:sz="0" w:space="0" w:color="auto"/>
            <w:right w:val="none" w:sz="0" w:space="0" w:color="auto"/>
          </w:divBdr>
        </w:div>
        <w:div w:id="681904839">
          <w:marLeft w:val="0"/>
          <w:marRight w:val="0"/>
          <w:marTop w:val="0"/>
          <w:marBottom w:val="0"/>
          <w:divBdr>
            <w:top w:val="none" w:sz="0" w:space="0" w:color="auto"/>
            <w:left w:val="none" w:sz="0" w:space="0" w:color="auto"/>
            <w:bottom w:val="none" w:sz="0" w:space="0" w:color="auto"/>
            <w:right w:val="none" w:sz="0" w:space="0" w:color="auto"/>
          </w:divBdr>
        </w:div>
        <w:div w:id="546183869">
          <w:marLeft w:val="0"/>
          <w:marRight w:val="0"/>
          <w:marTop w:val="0"/>
          <w:marBottom w:val="0"/>
          <w:divBdr>
            <w:top w:val="none" w:sz="0" w:space="0" w:color="auto"/>
            <w:left w:val="none" w:sz="0" w:space="0" w:color="auto"/>
            <w:bottom w:val="none" w:sz="0" w:space="0" w:color="auto"/>
            <w:right w:val="none" w:sz="0" w:space="0" w:color="auto"/>
          </w:divBdr>
        </w:div>
        <w:div w:id="1389374102">
          <w:marLeft w:val="0"/>
          <w:marRight w:val="0"/>
          <w:marTop w:val="0"/>
          <w:marBottom w:val="0"/>
          <w:divBdr>
            <w:top w:val="none" w:sz="0" w:space="0" w:color="auto"/>
            <w:left w:val="none" w:sz="0" w:space="0" w:color="auto"/>
            <w:bottom w:val="none" w:sz="0" w:space="0" w:color="auto"/>
            <w:right w:val="none" w:sz="0" w:space="0" w:color="auto"/>
          </w:divBdr>
        </w:div>
        <w:div w:id="1459759597">
          <w:marLeft w:val="0"/>
          <w:marRight w:val="0"/>
          <w:marTop w:val="0"/>
          <w:marBottom w:val="0"/>
          <w:divBdr>
            <w:top w:val="none" w:sz="0" w:space="0" w:color="auto"/>
            <w:left w:val="none" w:sz="0" w:space="0" w:color="auto"/>
            <w:bottom w:val="none" w:sz="0" w:space="0" w:color="auto"/>
            <w:right w:val="none" w:sz="0" w:space="0" w:color="auto"/>
          </w:divBdr>
        </w:div>
        <w:div w:id="175653715">
          <w:marLeft w:val="0"/>
          <w:marRight w:val="0"/>
          <w:marTop w:val="0"/>
          <w:marBottom w:val="0"/>
          <w:divBdr>
            <w:top w:val="none" w:sz="0" w:space="0" w:color="auto"/>
            <w:left w:val="none" w:sz="0" w:space="0" w:color="auto"/>
            <w:bottom w:val="none" w:sz="0" w:space="0" w:color="auto"/>
            <w:right w:val="none" w:sz="0" w:space="0" w:color="auto"/>
          </w:divBdr>
        </w:div>
        <w:div w:id="1951204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ombiacompra.gov.co/secop/secop-ii%20%20?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oequipos.com.co/wp-content/uploads/2024/08/comercial-X12-IBP_.pdf?utm_source=chatgpt.com" TargetMode="External"/><Relationship Id="rId12" Type="http://schemas.openxmlformats.org/officeDocument/2006/relationships/hyperlink" Target="https://medicolsa.com.co/monitores-multiparametros/730-monitor-multiparametros-de-signos-vitales-im50-edan.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medica.com.co/wp-content/uploads/2022/07/FT-MONITOR-IM-70-2IBP-CO-MULTIGAS-SIN-O2.pdf?utm_source=chatgpt.com" TargetMode="External"/><Relationship Id="rId11" Type="http://schemas.openxmlformats.org/officeDocument/2006/relationships/hyperlink" Target="https://bioequipos.com.co/wp-content/uploads/2024/08/comercial-X12-IBP_.pdf?utm_source=chatgpt.com" TargetMode="External"/><Relationship Id="rId5" Type="http://schemas.openxmlformats.org/officeDocument/2006/relationships/hyperlink" Target="https://medicolsa.com.co/monitores-multiparametros/730-monitor-multiparametros-de-signos-vitales-im50-edan.html?utm_source=chatgpt.com" TargetMode="External"/><Relationship Id="rId10" Type="http://schemas.openxmlformats.org/officeDocument/2006/relationships/hyperlink" Target="https://technoin.com.co/wp-content/uploads/2020/08/MONITOR-EDAN-IM50.pdf?utm_source=chatgpt.com" TargetMode="External"/><Relationship Id="rId4" Type="http://schemas.openxmlformats.org/officeDocument/2006/relationships/webSettings" Target="webSettings.xml"/><Relationship Id="rId9" Type="http://schemas.openxmlformats.org/officeDocument/2006/relationships/hyperlink" Target="https://colombialicita.com/search?entidadA=334&amp;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882</Words>
  <Characters>4851</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Andrés Zabala Saenz</dc:creator>
  <cp:keywords/>
  <dc:description/>
  <cp:lastModifiedBy>Sebastian Andrés Zabala Saenz</cp:lastModifiedBy>
  <cp:revision>1</cp:revision>
  <dcterms:created xsi:type="dcterms:W3CDTF">2025-03-02T00:19:00Z</dcterms:created>
  <dcterms:modified xsi:type="dcterms:W3CDTF">2025-03-02T00:24:00Z</dcterms:modified>
</cp:coreProperties>
</file>