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509" w:rsidRDefault="00A30E71">
      <w:pPr>
        <w:pStyle w:val="berschrift1"/>
      </w:pPr>
      <w:bookmarkStart w:id="0" w:name="X5143df535ce62d182b8935c26cec9adbb288a40"/>
      <w:r>
        <w:t>Veg-X JSON: A revised standard for vegetation data exchange</w:t>
      </w:r>
    </w:p>
    <w:p w:rsidR="00CB2509" w:rsidRDefault="00A30E71">
      <w:pPr>
        <w:pStyle w:val="berschrift2"/>
      </w:pPr>
      <w:bookmarkStart w:id="1" w:name="abstract"/>
      <w:r>
        <w:t>Abstract</w:t>
      </w:r>
    </w:p>
    <w:p w:rsidR="00CB2509" w:rsidRDefault="00A30E71">
      <w:pPr>
        <w:pStyle w:val="berschrift2"/>
      </w:pPr>
      <w:bookmarkStart w:id="2" w:name="introduction"/>
      <w:bookmarkEnd w:id="1"/>
      <w:r>
        <w:t>1. Introduction</w:t>
      </w:r>
    </w:p>
    <w:p w:rsidR="00CB2509" w:rsidRDefault="00A30E71">
      <w:pPr>
        <w:pStyle w:val="berschrift3"/>
      </w:pPr>
      <w:bookmarkStart w:id="3" w:name="vegetation-data-exchange"/>
      <w:r>
        <w:t>1.1 Vegetation data exchange</w:t>
      </w:r>
    </w:p>
    <w:p w:rsidR="00CB2509" w:rsidRDefault="00A30E71">
      <w:pPr>
        <w:pStyle w:val="berschrift3"/>
      </w:pPr>
      <w:bookmarkStart w:id="4" w:name="history-of-veg-x"/>
      <w:bookmarkEnd w:id="3"/>
      <w:r>
        <w:t>1.2 History of Veg-X</w:t>
      </w:r>
    </w:p>
    <w:p w:rsidR="00CB2509" w:rsidRDefault="00A30E71">
      <w:pPr>
        <w:pStyle w:val="berschrift4"/>
      </w:pPr>
      <w:bookmarkStart w:id="5" w:name="origins-and-objectives"/>
      <w:r>
        <w:t>1.2.1 Origins and objectives</w:t>
      </w:r>
    </w:p>
    <w:p w:rsidR="00CB2509" w:rsidRDefault="00A30E71">
      <w:pPr>
        <w:pStyle w:val="berschrift4"/>
      </w:pPr>
      <w:bookmarkStart w:id="6" w:name="development-of-the-xml-standard"/>
      <w:bookmarkEnd w:id="5"/>
      <w:r>
        <w:t>1.2.2 Development of the XML standard</w:t>
      </w:r>
    </w:p>
    <w:p w:rsidR="00CB2509" w:rsidRDefault="00A30E71">
      <w:pPr>
        <w:pStyle w:val="berschrift4"/>
      </w:pPr>
      <w:bookmarkStart w:id="7" w:name="X06658f0310cfe0663556bf736a89080f65a8f60"/>
      <w:bookmarkEnd w:id="6"/>
      <w:r>
        <w:t>1.2.4 Experience with implementation and adoption</w:t>
      </w:r>
    </w:p>
    <w:p w:rsidR="00CB2509" w:rsidRDefault="00A30E71">
      <w:pPr>
        <w:pStyle w:val="berschrift3"/>
      </w:pPr>
      <w:bookmarkStart w:id="8" w:name="rationale-for-a-new-version"/>
      <w:bookmarkEnd w:id="4"/>
      <w:bookmarkEnd w:id="7"/>
      <w:r>
        <w:t>1.3 Rationale for a new version</w:t>
      </w:r>
    </w:p>
    <w:p w:rsidR="00CB2509" w:rsidRDefault="00A30E71">
      <w:pPr>
        <w:pStyle w:val="berschrift4"/>
      </w:pPr>
      <w:bookmarkStart w:id="9" w:name="limitations-of-the-xml-information-model"/>
      <w:r>
        <w:t>1.3.1 Limitations of the XML information model</w:t>
      </w:r>
    </w:p>
    <w:p w:rsidR="00CB2509" w:rsidRDefault="00A30E71">
      <w:pPr>
        <w:pStyle w:val="FirstParagraph"/>
      </w:pPr>
      <w:r>
        <w:t>The XML version of Veg-X divided closely related information among many separately defined elements connected by identifiers. For example, interpreting a species cover record co</w:t>
      </w:r>
      <w:r>
        <w:t>uld require following links to elements scattered throughout the XML document. This structure made routine records difficult to understand, create, and process. Therefore, implementing import and export tools was time-consuming and error-prone and may have</w:t>
      </w:r>
      <w:r>
        <w:t xml:space="preserve"> contributed to the limited adoption of the standard. The revision does not remove those elements; it reorganizes them so related information is less dispersed and requires fewer cross-references.</w:t>
      </w:r>
    </w:p>
    <w:p w:rsidR="00CB2509" w:rsidRDefault="00A30E71">
      <w:pPr>
        <w:pStyle w:val="berschrift4"/>
      </w:pPr>
      <w:bookmarkStart w:id="10" w:name="requirements-of-current-data-workflows"/>
      <w:bookmarkEnd w:id="9"/>
      <w:r>
        <w:t>1.3.2 Requirements of current data workflows</w:t>
      </w:r>
    </w:p>
    <w:p w:rsidR="00CB2509" w:rsidRDefault="00A30E71">
      <w:pPr>
        <w:pStyle w:val="FirstParagraph"/>
      </w:pPr>
      <w:r>
        <w:t>Experience imp</w:t>
      </w:r>
      <w:r>
        <w:t>lementing XML Veg-X reinforced the need for an exchange format that is easy to generate, validate, and process with widely available tools.</w:t>
      </w:r>
    </w:p>
    <w:p w:rsidR="00CB2509" w:rsidRDefault="00A30E71">
      <w:pPr>
        <w:pStyle w:val="berschrift4"/>
      </w:pPr>
      <w:bookmarkStart w:id="11" w:name="why-json-and-json-schema"/>
      <w:bookmarkEnd w:id="10"/>
      <w:r>
        <w:t>1.3.3 Why JSON and JSON Schema?</w:t>
      </w:r>
    </w:p>
    <w:p w:rsidR="00CB2509" w:rsidRDefault="00A30E71">
      <w:pPr>
        <w:pStyle w:val="FirstParagraph"/>
      </w:pPr>
      <w:r>
        <w:t>We chose JSON because its compact data model is well suited to representing nested r</w:t>
      </w:r>
      <w:r>
        <w:t>ecords. JSON’s relatively simple structure and readability by both people and computers have contributed to its widespread use especially for web-based data exchange (Bourhis et al. 2020). Like XML Schema, JSON Schema is machine-readable and supports valid</w:t>
      </w:r>
      <w:r>
        <w:t xml:space="preserve">ation of data types, required properties, and permitted values (Barbaglia et al. 2017). Compared with XML, JSON allows related information to be nested. For example, XML Veg-X links a plot observation to a separately defined plot by an identifier, whereas </w:t>
      </w:r>
      <w:r>
        <w:t>JSON Veg-X nests the observation within its plot table x).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9"/>
        <w:gridCol w:w="13352"/>
      </w:tblGrid>
      <w:tr w:rsidR="00CB2509" w:rsidTr="00A30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2509" w:rsidRDefault="00A30E71">
            <w:pPr>
              <w:pStyle w:val="Compact"/>
            </w:pPr>
            <w:r>
              <w:t>XML Veg-X</w:t>
            </w:r>
          </w:p>
        </w:tc>
        <w:tc>
          <w:tcPr>
            <w:tcW w:w="0" w:type="auto"/>
          </w:tcPr>
          <w:p w:rsidR="00CB2509" w:rsidRDefault="00A30E71">
            <w:pPr>
              <w:pStyle w:val="Compact"/>
            </w:pPr>
            <w:r>
              <w:t>JSON Veg-X</w:t>
            </w:r>
          </w:p>
        </w:tc>
      </w:tr>
      <w:tr w:rsidR="00CB2509" w:rsidTr="00A30E71">
        <w:tc>
          <w:tcPr>
            <w:tcW w:w="0" w:type="auto"/>
          </w:tcPr>
          <w:p w:rsidR="00A30E71" w:rsidRPr="00A30E71" w:rsidRDefault="00A30E71">
            <w:pPr>
              <w:pStyle w:val="Compact"/>
              <w:rPr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>&lt;plot id="31"&gt;</w:t>
            </w:r>
            <w:r w:rsidRPr="00A30E71">
              <w:rPr>
                <w:rFonts w:ascii="Courier New" w:hAnsi="Courier New" w:cs="Courier New"/>
              </w:rPr>
              <w:t> </w:t>
            </w:r>
          </w:p>
          <w:p w:rsidR="00A30E71" w:rsidRPr="00A30E71" w:rsidRDefault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&lt;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plotName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&gt;1&lt;/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plotName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</w:t>
            </w:r>
          </w:p>
          <w:p w:rsidR="00A30E71" w:rsidRPr="00A30E71" w:rsidRDefault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>&lt;/plot&gt;</w:t>
            </w:r>
          </w:p>
          <w:p w:rsidR="00A30E71" w:rsidRPr="00A30E71" w:rsidRDefault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>&lt;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plotObservation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</w:t>
            </w:r>
          </w:p>
          <w:p w:rsidR="00A30E71" w:rsidRPr="00A30E71" w:rsidRDefault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&lt;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plotID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&gt;31&lt;/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plotID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</w:t>
            </w:r>
          </w:p>
          <w:p w:rsidR="00A30E71" w:rsidRPr="00A30E71" w:rsidRDefault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Fonts w:ascii="Courier New" w:hAnsi="Courier New" w:cs="Courier New"/>
              </w:rPr>
              <w:t xml:space="preserve">  </w:t>
            </w:r>
            <w:r w:rsidRPr="00A30E71">
              <w:rPr>
                <w:rFonts w:ascii="Courier New" w:hAnsi="Courier New" w:cs="Courier New"/>
              </w:rPr>
              <w:t> </w:t>
            </w:r>
            <w:r w:rsidRPr="00A30E71">
              <w:rPr>
                <w:rStyle w:val="VerbatimChar"/>
                <w:rFonts w:ascii="Courier New" w:hAnsi="Courier New" w:cs="Courier New"/>
              </w:rPr>
              <w:t>&lt;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obsStartDate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&gt;2026-08-06&lt;/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obsStartDate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</w:t>
            </w:r>
          </w:p>
          <w:p w:rsidR="00CB2509" w:rsidRDefault="00A30E71">
            <w:pPr>
              <w:pStyle w:val="Compact"/>
            </w:pPr>
            <w:r w:rsidRPr="00A30E71">
              <w:rPr>
                <w:rStyle w:val="VerbatimChar"/>
                <w:rFonts w:ascii="Courier New" w:hAnsi="Courier New" w:cs="Courier New"/>
              </w:rPr>
              <w:t>&lt;/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plotObservation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&gt;</w:t>
            </w:r>
          </w:p>
        </w:tc>
        <w:tc>
          <w:tcPr>
            <w:tcW w:w="0" w:type="auto"/>
          </w:tcPr>
          <w:p w:rsid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>
              <w:rPr>
                <w:rStyle w:val="VerbatimChar"/>
                <w:rFonts w:ascii="Courier New" w:hAnsi="Courier New" w:cs="Courier New"/>
              </w:rPr>
              <w:t>{</w:t>
            </w:r>
          </w:p>
          <w:p w:rsidR="00A30E71" w:rsidRP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"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plotName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": "1",</w:t>
            </w:r>
          </w:p>
          <w:p w:rsidR="00A30E71" w:rsidRP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"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plotObservations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": [</w:t>
            </w:r>
          </w:p>
          <w:p w:rsidR="00A30E71" w:rsidRP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 xml:space="preserve">  </w:t>
            </w: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{</w:t>
            </w:r>
          </w:p>
          <w:p w:rsidR="00A30E71" w:rsidRP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 xml:space="preserve">    </w:t>
            </w: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"</w:t>
            </w:r>
            <w:proofErr w:type="spellStart"/>
            <w:r w:rsidRPr="00A30E71">
              <w:rPr>
                <w:rStyle w:val="VerbatimChar"/>
                <w:rFonts w:ascii="Courier New" w:hAnsi="Courier New" w:cs="Courier New"/>
              </w:rPr>
              <w:t>obsStartDate</w:t>
            </w:r>
            <w:proofErr w:type="spellEnd"/>
            <w:r w:rsidRPr="00A30E71">
              <w:rPr>
                <w:rStyle w:val="VerbatimChar"/>
                <w:rFonts w:ascii="Courier New" w:hAnsi="Courier New" w:cs="Courier New"/>
              </w:rPr>
              <w:t>": "2026-08-06"</w:t>
            </w:r>
          </w:p>
          <w:p w:rsidR="00A30E71" w:rsidRPr="00A30E71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 w:rsidRPr="00A30E71">
              <w:rPr>
                <w:rStyle w:val="VerbatimChar"/>
                <w:rFonts w:ascii="Courier New" w:hAnsi="Courier New" w:cs="Courier New"/>
              </w:rPr>
              <w:t xml:space="preserve">  </w:t>
            </w: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}</w:t>
            </w:r>
          </w:p>
          <w:p w:rsidR="00CB2509" w:rsidRDefault="00A30E71" w:rsidP="00A30E71">
            <w:pPr>
              <w:pStyle w:val="Compact"/>
              <w:rPr>
                <w:rStyle w:val="VerbatimChar"/>
                <w:rFonts w:ascii="Courier New" w:hAnsi="Courier New" w:cs="Courier New"/>
              </w:rPr>
            </w:pPr>
            <w:r>
              <w:rPr>
                <w:rStyle w:val="VerbatimChar"/>
                <w:rFonts w:ascii="Courier New" w:hAnsi="Courier New" w:cs="Courier New"/>
              </w:rPr>
              <w:t xml:space="preserve">  </w:t>
            </w:r>
            <w:r w:rsidRPr="00A30E71">
              <w:rPr>
                <w:rStyle w:val="VerbatimChar"/>
                <w:rFonts w:ascii="Courier New" w:hAnsi="Courier New" w:cs="Courier New"/>
              </w:rPr>
              <w:t>]</w:t>
            </w:r>
          </w:p>
          <w:p w:rsidR="00A30E71" w:rsidRPr="00A30E71" w:rsidRDefault="00A30E71" w:rsidP="00A30E71">
            <w:pPr>
              <w:pStyle w:val="Compac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:rsidR="00CB2509" w:rsidRDefault="00A30E71">
      <w:pPr>
        <w:pStyle w:val="berschrift4"/>
      </w:pPr>
      <w:bookmarkStart w:id="12" w:name="revision-rather-than-direct-translation"/>
      <w:bookmarkEnd w:id="11"/>
      <w:r>
        <w:t>1.3.4 Revision rather than direct translation</w:t>
      </w:r>
      <w:bookmarkStart w:id="13" w:name="_GoBack"/>
      <w:bookmarkEnd w:id="13"/>
    </w:p>
    <w:p w:rsidR="00CB2509" w:rsidRDefault="00A30E71">
      <w:pPr>
        <w:pStyle w:val="berschrift2"/>
      </w:pPr>
      <w:bookmarkStart w:id="14" w:name="design-principles"/>
      <w:bookmarkEnd w:id="2"/>
      <w:bookmarkEnd w:id="8"/>
      <w:bookmarkEnd w:id="12"/>
      <w:r>
        <w:t>2. Design Principles</w:t>
      </w:r>
    </w:p>
    <w:p w:rsidR="00CB2509" w:rsidRDefault="00A30E71">
      <w:pPr>
        <w:pStyle w:val="berschrift3"/>
      </w:pPr>
      <w:bookmarkStart w:id="15" w:name="document-oriented-organization"/>
      <w:r>
        <w:t>2.1 Document-oriented organization</w:t>
      </w:r>
    </w:p>
    <w:p w:rsidR="00CB2509" w:rsidRDefault="00A30E71">
      <w:pPr>
        <w:pStyle w:val="berschrift3"/>
      </w:pPr>
      <w:bookmarkStart w:id="16" w:name="self-contained-and-intelligible-records"/>
      <w:bookmarkEnd w:id="15"/>
      <w:r>
        <w:t>2.2 Self-contained and intelligible records</w:t>
      </w:r>
    </w:p>
    <w:p w:rsidR="00CB2509" w:rsidRDefault="00A30E71">
      <w:pPr>
        <w:pStyle w:val="berschrift3"/>
      </w:pPr>
      <w:bookmarkStart w:id="17" w:name="a-small-approachable-core"/>
      <w:bookmarkEnd w:id="16"/>
      <w:r>
        <w:t>2.3 A small, approachable core</w:t>
      </w:r>
    </w:p>
    <w:p w:rsidR="00CB2509" w:rsidRDefault="00A30E71">
      <w:pPr>
        <w:pStyle w:val="berschrift3"/>
      </w:pPr>
      <w:bookmarkStart w:id="18" w:name="interoperability-and-validation"/>
      <w:bookmarkEnd w:id="17"/>
      <w:r>
        <w:t>2.4 Interoperability and validation</w:t>
      </w:r>
    </w:p>
    <w:p w:rsidR="00CB2509" w:rsidRDefault="00A30E71">
      <w:pPr>
        <w:pStyle w:val="berschrift3"/>
      </w:pPr>
      <w:bookmarkStart w:id="19" w:name="Xb7c6aaedfc76a14000b95e3b91717732abb2f24"/>
      <w:bookmarkEnd w:id="18"/>
      <w:r>
        <w:t>2.5 Preservation of information from XML Veg-X</w:t>
      </w:r>
    </w:p>
    <w:p w:rsidR="00CB2509" w:rsidRDefault="00A30E71">
      <w:pPr>
        <w:pStyle w:val="berschrift3"/>
      </w:pPr>
      <w:bookmarkStart w:id="20" w:name="Xe32d9ad370838fea39134aec8b4908df5038332"/>
      <w:bookmarkEnd w:id="19"/>
      <w:r>
        <w:t>2.6 Extensibility without unnecessary complexity</w:t>
      </w:r>
    </w:p>
    <w:p w:rsidR="00CB2509" w:rsidRDefault="00A30E71">
      <w:pPr>
        <w:pStyle w:val="berschrift2"/>
      </w:pPr>
      <w:bookmarkStart w:id="21" w:name="changes-from-xml-veg-x"/>
      <w:bookmarkEnd w:id="14"/>
      <w:bookmarkEnd w:id="20"/>
      <w:r>
        <w:t>3. Changes from XML Veg-X</w:t>
      </w:r>
    </w:p>
    <w:p w:rsidR="00CB2509" w:rsidRDefault="00A30E71">
      <w:pPr>
        <w:pStyle w:val="berschrift3"/>
      </w:pPr>
      <w:bookmarkStart w:id="22" w:name="X7d09dec42cc6ea4cfa9869ef8b4389f0cbfa313"/>
      <w:r>
        <w:t>3.1 From a reference graph to nested documents</w:t>
      </w:r>
    </w:p>
    <w:p w:rsidR="00CB2509" w:rsidRDefault="00A30E71">
      <w:pPr>
        <w:pStyle w:val="berschrift3"/>
      </w:pPr>
      <w:bookmarkStart w:id="23" w:name="X66749ab44347342754bdc804c0f73ec44e9b127"/>
      <w:bookmarkEnd w:id="22"/>
      <w:r>
        <w:t>3.2 Simplification of identifiers and relationships</w:t>
      </w:r>
    </w:p>
    <w:p w:rsidR="00CB2509" w:rsidRDefault="00A30E71">
      <w:pPr>
        <w:pStyle w:val="berschrift3"/>
      </w:pPr>
      <w:bookmarkStart w:id="24" w:name="Xf3cbb39aee48b9feb1ff6d3ca549aa5142eaa7c"/>
      <w:bookmarkEnd w:id="23"/>
      <w:r>
        <w:t>3.3 Explicit representation of common concepts</w:t>
      </w:r>
    </w:p>
    <w:p w:rsidR="00CB2509" w:rsidRDefault="00A30E71">
      <w:pPr>
        <w:pStyle w:val="berschrift3"/>
      </w:pPr>
      <w:bookmarkStart w:id="25" w:name="concepts-retained-and-reorganized"/>
      <w:bookmarkEnd w:id="24"/>
      <w:r>
        <w:t>3.4 Concepts retained and reorganized</w:t>
      </w:r>
    </w:p>
    <w:p w:rsidR="00CB2509" w:rsidRDefault="00A30E71">
      <w:pPr>
        <w:pStyle w:val="berschrift3"/>
      </w:pPr>
      <w:bookmarkStart w:id="26" w:name="concepts-omitted-or-newly-introduced"/>
      <w:bookmarkEnd w:id="25"/>
      <w:r>
        <w:t>3.5 Concepts omitted or newly introduced</w:t>
      </w:r>
    </w:p>
    <w:p w:rsidR="00CB2509" w:rsidRDefault="00A30E71">
      <w:pPr>
        <w:pStyle w:val="berschrift3"/>
      </w:pPr>
      <w:bookmarkStart w:id="27" w:name="X3b0368befe24a25608af4eae65f789c917c3ebd"/>
      <w:bookmarkEnd w:id="26"/>
      <w:r>
        <w:t>3.6 Implications for migration and information preservation</w:t>
      </w:r>
    </w:p>
    <w:p w:rsidR="00CB2509" w:rsidRDefault="00A30E71">
      <w:pPr>
        <w:pStyle w:val="berschrift2"/>
      </w:pPr>
      <w:bookmarkStart w:id="28" w:name="representation-of-vegetation-data"/>
      <w:bookmarkEnd w:id="21"/>
      <w:bookmarkEnd w:id="27"/>
      <w:r>
        <w:t>4. Representation of Vegetation Data</w:t>
      </w:r>
    </w:p>
    <w:p w:rsidR="00CB2509" w:rsidRDefault="00A30E71">
      <w:pPr>
        <w:pStyle w:val="berschrift3"/>
      </w:pPr>
      <w:bookmarkStart w:id="29" w:name="X4c3c0b7243fc3b8e4df89cd53f2c564364c98ba"/>
      <w:r>
        <w:t>4.1 Information model (Note: onl</w:t>
      </w:r>
      <w:r>
        <w:t>y the model overview and relationship)</w:t>
      </w:r>
    </w:p>
    <w:p w:rsidR="00CB2509" w:rsidRDefault="00A30E71">
      <w:pPr>
        <w:pStyle w:val="berschrift3"/>
      </w:pPr>
      <w:bookmarkStart w:id="30" w:name="Xc1b951469d33aad2e531060484f7342d27dede3"/>
      <w:bookmarkEnd w:id="29"/>
      <w:r>
        <w:t>4.2 Taxonomic names, concepts, and determinations</w:t>
      </w:r>
    </w:p>
    <w:p w:rsidR="00CB2509" w:rsidRDefault="00A30E71">
      <w:pPr>
        <w:pStyle w:val="berschrift3"/>
      </w:pPr>
      <w:bookmarkStart w:id="31" w:name="taxon-occurrences-and-abundance"/>
      <w:bookmarkEnd w:id="30"/>
      <w:r>
        <w:t>4.3 Taxon occurrences and abundance</w:t>
      </w:r>
    </w:p>
    <w:p w:rsidR="00CB2509" w:rsidRDefault="00A30E71">
      <w:pPr>
        <w:pStyle w:val="berschrift3"/>
      </w:pPr>
      <w:bookmarkStart w:id="32" w:name="Xe8bbba5126e864a39f93fbc5267b6da8768bae7"/>
      <w:bookmarkEnd w:id="31"/>
      <w:r>
        <w:t>4.4 Individual organisms and repeated observations</w:t>
      </w:r>
    </w:p>
    <w:p w:rsidR="00CB2509" w:rsidRDefault="00A30E71">
      <w:pPr>
        <w:pStyle w:val="berschrift3"/>
      </w:pPr>
      <w:bookmarkStart w:id="33" w:name="vegetation-strata"/>
      <w:bookmarkEnd w:id="32"/>
      <w:r>
        <w:t>4.5 Vegetation strata</w:t>
      </w:r>
    </w:p>
    <w:p w:rsidR="00CB2509" w:rsidRDefault="00A30E71">
      <w:pPr>
        <w:pStyle w:val="berschrift3"/>
      </w:pPr>
      <w:bookmarkStart w:id="34" w:name="plot-identity-location-and-geometry"/>
      <w:bookmarkEnd w:id="33"/>
      <w:r>
        <w:t>4.6 Plot identity, location, and geometry</w:t>
      </w:r>
    </w:p>
    <w:p w:rsidR="00CB2509" w:rsidRDefault="00A30E71">
      <w:pPr>
        <w:pStyle w:val="berschrift3"/>
      </w:pPr>
      <w:bookmarkStart w:id="35" w:name="temporal-observations-and-resurveys"/>
      <w:bookmarkEnd w:id="34"/>
      <w:r>
        <w:t>4.7 Temporal obs</w:t>
      </w:r>
      <w:r>
        <w:t>ervations and resurveys</w:t>
      </w:r>
    </w:p>
    <w:p w:rsidR="00CB2509" w:rsidRDefault="00A30E71">
      <w:pPr>
        <w:pStyle w:val="berschrift3"/>
      </w:pPr>
      <w:bookmarkStart w:id="36" w:name="measurements-units-and-cover-scales"/>
      <w:bookmarkEnd w:id="35"/>
      <w:r>
        <w:t>4.8 Measurements, units, and cover scales</w:t>
      </w:r>
    </w:p>
    <w:p w:rsidR="00CB2509" w:rsidRDefault="00A30E71">
      <w:pPr>
        <w:pStyle w:val="berschrift3"/>
      </w:pPr>
      <w:bookmarkStart w:id="37" w:name="metadata-provenance-rights-and-citations"/>
      <w:bookmarkEnd w:id="36"/>
      <w:r>
        <w:t>4.9 Metadata, provenance, rights, and citations</w:t>
      </w:r>
    </w:p>
    <w:p w:rsidR="00CB2509" w:rsidRDefault="00A30E71">
      <w:pPr>
        <w:pStyle w:val="berschrift3"/>
      </w:pPr>
      <w:bookmarkStart w:id="38" w:name="user-defined-information-and-extensions"/>
      <w:bookmarkEnd w:id="37"/>
      <w:r>
        <w:t>4.10 User-defined information and extensions</w:t>
      </w:r>
    </w:p>
    <w:p w:rsidR="00CB2509" w:rsidRDefault="00A30E71">
      <w:pPr>
        <w:pStyle w:val="berschrift2"/>
      </w:pPr>
      <w:bookmarkStart w:id="39" w:name="validation-and-evaluation"/>
      <w:bookmarkEnd w:id="28"/>
      <w:bookmarkEnd w:id="38"/>
      <w:r>
        <w:t>5. Validation and Evaluation</w:t>
      </w:r>
    </w:p>
    <w:p w:rsidR="00CB2509" w:rsidRDefault="00A30E71">
      <w:pPr>
        <w:pStyle w:val="berschrift3"/>
      </w:pPr>
      <w:bookmarkStart w:id="40" w:name="validation-with-json-schema"/>
      <w:r>
        <w:t>5.1 Validation with JSON Schema</w:t>
      </w:r>
    </w:p>
    <w:p w:rsidR="00CB2509" w:rsidRDefault="00A30E71">
      <w:pPr>
        <w:pStyle w:val="berschrift3"/>
      </w:pPr>
      <w:bookmarkStart w:id="41" w:name="representative-example-datasets"/>
      <w:bookmarkEnd w:id="40"/>
      <w:r>
        <w:t>5.2 Representative example datasets</w:t>
      </w:r>
    </w:p>
    <w:p w:rsidR="00CB2509" w:rsidRDefault="00A30E71">
      <w:pPr>
        <w:pStyle w:val="berschrift3"/>
      </w:pPr>
      <w:bookmarkStart w:id="42" w:name="round-trip-and-interoperability-testing"/>
      <w:bookmarkEnd w:id="41"/>
      <w:r>
        <w:t>5.3 Round-trip and interoperability testing</w:t>
      </w:r>
    </w:p>
    <w:p w:rsidR="00CB2509" w:rsidRDefault="00A30E71">
      <w:pPr>
        <w:pStyle w:val="berschrift3"/>
      </w:pPr>
      <w:bookmarkStart w:id="43" w:name="known-limitations"/>
      <w:bookmarkEnd w:id="42"/>
      <w:r>
        <w:t>5.4 Known limitations</w:t>
      </w:r>
    </w:p>
    <w:p w:rsidR="00CB2509" w:rsidRDefault="00A30E71">
      <w:pPr>
        <w:pStyle w:val="berschrift2"/>
      </w:pPr>
      <w:bookmarkStart w:id="44" w:name="discussion"/>
      <w:bookmarkEnd w:id="39"/>
      <w:bookmarkEnd w:id="43"/>
      <w:r>
        <w:t>6. Discussion</w:t>
      </w:r>
    </w:p>
    <w:p w:rsidR="00CB2509" w:rsidRDefault="00A30E71">
      <w:pPr>
        <w:pStyle w:val="berschrift3"/>
      </w:pPr>
      <w:bookmarkStart w:id="45" w:name="expected-benefits"/>
      <w:r>
        <w:t>6.1 Expected benefits</w:t>
      </w:r>
    </w:p>
    <w:p w:rsidR="00CB2509" w:rsidRDefault="00A30E71">
      <w:pPr>
        <w:pStyle w:val="berschrift3"/>
      </w:pPr>
      <w:bookmarkStart w:id="46" w:name="design-trade-offs"/>
      <w:bookmarkEnd w:id="45"/>
      <w:r>
        <w:t>6.2 Design trade-offs</w:t>
      </w:r>
    </w:p>
    <w:p w:rsidR="00CB2509" w:rsidRDefault="00A30E71">
      <w:pPr>
        <w:pStyle w:val="berschrift3"/>
      </w:pPr>
      <w:bookmarkStart w:id="47" w:name="compatibility-and-adoption"/>
      <w:bookmarkEnd w:id="46"/>
      <w:r>
        <w:t>6.3 Compatibility and adoption</w:t>
      </w:r>
    </w:p>
    <w:p w:rsidR="00CB2509" w:rsidRDefault="00A30E71">
      <w:pPr>
        <w:pStyle w:val="berschrift3"/>
      </w:pPr>
      <w:bookmarkStart w:id="48" w:name="future-development"/>
      <w:bookmarkEnd w:id="47"/>
      <w:r>
        <w:t>6.4 Future development</w:t>
      </w:r>
    </w:p>
    <w:p w:rsidR="00CB2509" w:rsidRDefault="00A30E71">
      <w:pPr>
        <w:pStyle w:val="berschrift2"/>
      </w:pPr>
      <w:bookmarkStart w:id="49" w:name="conclusions"/>
      <w:bookmarkEnd w:id="44"/>
      <w:bookmarkEnd w:id="48"/>
      <w:r>
        <w:t>7. Conclusions</w:t>
      </w:r>
    </w:p>
    <w:p w:rsidR="00CB2509" w:rsidRDefault="00A30E71">
      <w:pPr>
        <w:pStyle w:val="berschrift2"/>
      </w:pPr>
      <w:bookmarkStart w:id="50" w:name="acknowledgements"/>
      <w:bookmarkEnd w:id="49"/>
      <w:r>
        <w:t>Acknowledgements</w:t>
      </w:r>
    </w:p>
    <w:p w:rsidR="00CB2509" w:rsidRDefault="00A30E71">
      <w:pPr>
        <w:pStyle w:val="berschrift2"/>
      </w:pPr>
      <w:bookmarkStart w:id="51" w:name="author-contributions"/>
      <w:bookmarkEnd w:id="50"/>
      <w:r>
        <w:t>Author Contributions</w:t>
      </w:r>
    </w:p>
    <w:p w:rsidR="00CB2509" w:rsidRDefault="00A30E71">
      <w:pPr>
        <w:pStyle w:val="berschrift2"/>
      </w:pPr>
      <w:bookmarkStart w:id="52" w:name="references"/>
      <w:bookmarkEnd w:id="51"/>
      <w:r>
        <w:t>References</w:t>
      </w:r>
    </w:p>
    <w:p w:rsidR="00CB2509" w:rsidRDefault="00A30E71">
      <w:pPr>
        <w:pStyle w:val="berschrift1"/>
      </w:pPr>
      <w:bookmarkStart w:id="53" w:name="appendix-a-json-format-reference"/>
      <w:bookmarkEnd w:id="0"/>
      <w:bookmarkEnd w:id="52"/>
      <w:r>
        <w:t>Appendix A: JS</w:t>
      </w:r>
      <w:r>
        <w:t>ON Format Reference</w:t>
      </w:r>
    </w:p>
    <w:p w:rsidR="00CB2509" w:rsidRDefault="00A30E71">
      <w:pPr>
        <w:pStyle w:val="berschrift2"/>
      </w:pPr>
      <w:bookmarkStart w:id="54" w:name="a.1-document-structure"/>
      <w:r>
        <w:t>A.1 Document structure</w:t>
      </w:r>
    </w:p>
    <w:p w:rsidR="00CB2509" w:rsidRDefault="00A30E71">
      <w:pPr>
        <w:pStyle w:val="berschrift2"/>
      </w:pPr>
      <w:bookmarkStart w:id="55" w:name="a.2-object-and-property-documentation"/>
      <w:bookmarkEnd w:id="54"/>
      <w:r>
        <w:t>A.2 Object and property documentation</w:t>
      </w:r>
    </w:p>
    <w:p w:rsidR="00CB2509" w:rsidRDefault="00A30E71">
      <w:pPr>
        <w:pStyle w:val="berschrift2"/>
      </w:pPr>
      <w:bookmarkStart w:id="56" w:name="a.3-required-and-optional-properties"/>
      <w:bookmarkEnd w:id="55"/>
      <w:r>
        <w:t>A.3 Required and optional properties</w:t>
      </w:r>
    </w:p>
    <w:p w:rsidR="00CB2509" w:rsidRDefault="00A30E71">
      <w:pPr>
        <w:pStyle w:val="berschrift2"/>
      </w:pPr>
      <w:bookmarkStart w:id="57" w:name="a.4-identifiers-and-references"/>
      <w:bookmarkEnd w:id="56"/>
      <w:r>
        <w:t>A.4 Identifiers and references</w:t>
      </w:r>
    </w:p>
    <w:p w:rsidR="00CB2509" w:rsidRDefault="00A30E71">
      <w:pPr>
        <w:pStyle w:val="berschrift2"/>
      </w:pPr>
      <w:bookmarkStart w:id="58" w:name="a.5-extension-mechanism"/>
      <w:bookmarkEnd w:id="57"/>
      <w:r>
        <w:t>A.5 Extension mechanism</w:t>
      </w:r>
    </w:p>
    <w:p w:rsidR="00CB2509" w:rsidRDefault="00A30E71">
      <w:pPr>
        <w:pStyle w:val="berschrift1"/>
      </w:pPr>
      <w:bookmarkStart w:id="59" w:name="appendix-b-complete-examples"/>
      <w:bookmarkEnd w:id="53"/>
      <w:bookmarkEnd w:id="58"/>
      <w:r>
        <w:t>Appendix B: Complete Examples</w:t>
      </w:r>
    </w:p>
    <w:p w:rsidR="00CB2509" w:rsidRDefault="00A30E71">
      <w:pPr>
        <w:pStyle w:val="berschrift1"/>
      </w:pPr>
      <w:bookmarkStart w:id="60" w:name="appendix-c-xml-to-json-concept-mapping"/>
      <w:bookmarkEnd w:id="59"/>
      <w:r>
        <w:t>Appendix C: XML-to-JSON Concept Mapping</w:t>
      </w:r>
    </w:p>
    <w:p w:rsidR="00CB2509" w:rsidRDefault="00A30E71">
      <w:pPr>
        <w:pStyle w:val="berschrift1"/>
      </w:pPr>
      <w:bookmarkStart w:id="61" w:name="appendix-d-open-design-questions"/>
      <w:bookmarkEnd w:id="60"/>
      <w:r>
        <w:t>Appendix D: O</w:t>
      </w:r>
      <w:r>
        <w:t>pen Design Questions</w:t>
      </w:r>
    </w:p>
    <w:p w:rsidR="00CB2509" w:rsidRDefault="00A30E71">
      <w:pPr>
        <w:pStyle w:val="Literaturverzeichnis"/>
      </w:pPr>
      <w:bookmarkStart w:id="62" w:name="ref-barbaglia_2017"/>
      <w:bookmarkStart w:id="63" w:name="refs"/>
      <w:r>
        <w:t xml:space="preserve">Barbaglia, Guido, Simone Murzilli, and Stefano Cudini. 2017. “Definition of REST Web Services with JSON Schema.” </w:t>
      </w:r>
      <w:r>
        <w:rPr>
          <w:i/>
          <w:iCs/>
        </w:rPr>
        <w:t>Software: Practice and Experience</w:t>
      </w:r>
      <w:r>
        <w:t xml:space="preserve"> 47 (6): 907–20. https://doi.org/</w:t>
      </w:r>
      <w:hyperlink r:id="rId5">
        <w:r>
          <w:rPr>
            <w:rStyle w:val="Hyperlink"/>
          </w:rPr>
          <w:t>http</w:t>
        </w:r>
        <w:r>
          <w:rPr>
            <w:rStyle w:val="Hyperlink"/>
          </w:rPr>
          <w:t>s://doi.org/10.1002/spe.2466</w:t>
        </w:r>
      </w:hyperlink>
      <w:r>
        <w:t>.</w:t>
      </w:r>
    </w:p>
    <w:p w:rsidR="00CB2509" w:rsidRDefault="00A30E71">
      <w:pPr>
        <w:pStyle w:val="Literaturverzeichnis"/>
      </w:pPr>
      <w:bookmarkStart w:id="64" w:name="ref-bourhis_2020"/>
      <w:bookmarkEnd w:id="62"/>
      <w:r>
        <w:t xml:space="preserve">Bourhis, Pierre, Juan L. Reutter, and Domagoj Vrgoč. 2020. “JSON: Data Model and Query Languages.” </w:t>
      </w:r>
      <w:r>
        <w:rPr>
          <w:i/>
          <w:iCs/>
        </w:rPr>
        <w:t>Information Systems</w:t>
      </w:r>
      <w:r>
        <w:t xml:space="preserve"> 89: 101478. https://doi.org/</w:t>
      </w:r>
      <w:hyperlink r:id="rId6">
        <w:r>
          <w:rPr>
            <w:rStyle w:val="Hyperlink"/>
          </w:rPr>
          <w:t>https://doi.org/10.</w:t>
        </w:r>
        <w:r>
          <w:rPr>
            <w:rStyle w:val="Hyperlink"/>
          </w:rPr>
          <w:t>1016/j.is.2019.101478</w:t>
        </w:r>
      </w:hyperlink>
      <w:r>
        <w:t>.</w:t>
      </w:r>
      <w:bookmarkEnd w:id="61"/>
      <w:bookmarkEnd w:id="63"/>
      <w:bookmarkEnd w:id="64"/>
    </w:p>
    <w:sectPr w:rsidR="00CB2509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27462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509"/>
    <w:rsid w:val="00A30E71"/>
    <w:rsid w:val="00CB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658DC"/>
  <w15:docId w15:val="{FE59401B-62AB-4DF8-B687-4FB7604F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is.2019.101478" TargetMode="External"/><Relationship Id="rId5" Type="http://schemas.openxmlformats.org/officeDocument/2006/relationships/hyperlink" Target="https://doi.org/10.1002/spe.24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Schmidtlein, Sebastian (IFGG)</cp:lastModifiedBy>
  <cp:revision>2</cp:revision>
  <dcterms:created xsi:type="dcterms:W3CDTF">2026-09-24T19:29:00Z</dcterms:created>
  <dcterms:modified xsi:type="dcterms:W3CDTF">2026-09-24T19:37:00Z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Literature.bib</vt:lpwstr>
  </property>
  <property fmtid="{D5CDD505-2E9C-101B-9397-08002B2CF9AE}" pid="3" name="csl">
    <vt:lpwstr>style.csl</vt:lpwstr>
  </property>
</Properties>
</file>