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MATIAS IGNACIO LEYTON FERRADA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0"/>
        <w:gridCol w:w="1020"/>
        <w:gridCol w:w="945"/>
        <w:gridCol w:w="1050"/>
        <w:gridCol w:w="1185"/>
        <w:gridCol w:w="1245"/>
        <w:gridCol w:w="2550"/>
        <w:tblGridChange w:id="0">
          <w:tblGrid>
            <w:gridCol w:w="1920"/>
            <w:gridCol w:w="1020"/>
            <w:gridCol w:w="94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 Ofrecer propuestas de solución informática analizando de forma integral los procesos de acuerdo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 Desarrollar una solución de software utilizando técnicas que permitan sistematizar el proceso de 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2.812500000000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Construir programas y rutinas de variada complejidad para dar solución a requerimientos de la 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Realizar pruebas de certificación tanto de los productos como de los procesos utilizando buenas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 Construir el modelo arquitectónico de una solución sistémica que soporte los procesos de negocio 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e06666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Implementar soluciones sistémicas integrales para automatizar u optimizar procesos de negocio 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Desarrollar la transformación de grandes volúmenes de datos para la obtención de información y 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 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 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 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 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Resolver situaciones problemáticas de la educación superior y mundo laboral, utilizando elementos 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 en forma oral o escrita, aplicando herramientas lingüístico-pragmáticas y estrategias de 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 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 Comunicarse de forma oral y escrita usando el idioma inglés en situaciones socio-laborales a un nivel 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 Comunicarse usando el idioma inglés en situaciones laborales a un nivel intermedio relacionado con 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color w:val="93c47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3c47d"/>
                <w:sz w:val="18"/>
                <w:szCs w:val="18"/>
                <w:rtl w:val="0"/>
              </w:rPr>
              <w:t xml:space="preserve">Desarrollar la propia habilidad emprendedora, a través de experiencias en el ámbito de la 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color w:val="93c47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3c47d"/>
                <w:sz w:val="18"/>
                <w:szCs w:val="18"/>
                <w:rtl w:val="0"/>
              </w:rPr>
              <w:t xml:space="preserve">especialidad.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Elaborar proyectos innovadores que agreguen valor a contextos sociales y productivos, de acuerdo 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1.992187500000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.leytonf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jFk77nvM/klb5z8XdLTWgxqLHQ==">CgMxLjAyCGguZ2pkZ3hzMgloLjMwajB6bGw4AHIhMTYtb0ttQm55eV9MT0dEZFlzbWU1MjJiM2VINTU5NmxL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