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EC" w:rsidRPr="00C55197" w:rsidRDefault="006C768E" w:rsidP="006C768E">
      <w:pPr>
        <w:pStyle w:val="berschrift3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</w:p>
    <w:p w:rsidR="00180C72" w:rsidRDefault="00180C72" w:rsidP="00180C72">
      <w:pPr>
        <w:rPr>
          <w:rFonts w:ascii="Charter" w:hAnsi="Charter"/>
        </w:rPr>
      </w:pPr>
    </w:p>
    <w:p w:rsidR="00890285" w:rsidRPr="000F7464" w:rsidRDefault="00890285" w:rsidP="00180C72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Plotter oder Script genannt) dient der Visualisierung des zeitlichen Verlaufs des Verbrauchs eines Jobs auf dem Lichtenberg-Hochleistungsrechner. </w:t>
      </w:r>
      <w:r w:rsidR="00FB49D6">
        <w:rPr>
          <w:rFonts w:ascii="Charter" w:hAnsi="Charter"/>
        </w:rPr>
        <w:t>Es generiert ein</w:t>
      </w:r>
      <w:r w:rsidR="00982918">
        <w:rPr>
          <w:rFonts w:ascii="Charter" w:hAnsi="Charter"/>
        </w:rPr>
        <w:t xml:space="preserve"> Bild, auf dem abgesehen von der Belastung auch eine </w:t>
      </w:r>
      <w:r w:rsidR="003F0CD3">
        <w:rPr>
          <w:rFonts w:ascii="Charter" w:hAnsi="Charter"/>
        </w:rPr>
        <w:t xml:space="preserve">abschnittsweise </w:t>
      </w:r>
      <w:r w:rsidR="00982918">
        <w:rPr>
          <w:rFonts w:ascii="Charter" w:hAnsi="Charter"/>
        </w:rPr>
        <w:t>farbliche Bewertung in vier Kategorien abzulesen ist.</w:t>
      </w:r>
    </w:p>
    <w:p w:rsidR="009C1D37" w:rsidRPr="000F7464" w:rsidRDefault="00180C72" w:rsidP="00DF18EA">
      <w:pPr>
        <w:rPr>
          <w:rFonts w:ascii="Charter" w:hAnsi="Charter"/>
        </w:rPr>
      </w:pPr>
      <w:r w:rsidRPr="00C55197">
        <w:rPr>
          <w:rFonts w:ascii="Charter" w:hAnsi="Charter"/>
          <w:b/>
          <w:i/>
        </w:rPr>
        <w:t>Inhalte</w:t>
      </w:r>
      <w:r w:rsidRPr="00C55197">
        <w:rPr>
          <w:rFonts w:ascii="Charter" w:hAnsi="Charter"/>
          <w:b/>
        </w:rPr>
        <w:t>:</w:t>
      </w:r>
      <w:r w:rsidRPr="000F7464">
        <w:rPr>
          <w:rFonts w:ascii="Charter" w:hAnsi="Charter"/>
        </w:rPr>
        <w:t xml:space="preserve"> „Plotter.zip“, Anleitung</w:t>
      </w:r>
    </w:p>
    <w:p w:rsidR="009B29C9" w:rsidRPr="000F7464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742160">
        <w:rPr>
          <w:rFonts w:ascii="Charter" w:hAnsi="Charter"/>
        </w:rPr>
        <w:t xml:space="preserve"> 3.5</w:t>
      </w:r>
      <w:r w:rsidR="009B29C9">
        <w:rPr>
          <w:rFonts w:ascii="Charter" w:hAnsi="Charter"/>
        </w:rPr>
        <w:t>, mindestens jedoch Version 3</w:t>
      </w:r>
      <w:r w:rsidR="00742160">
        <w:rPr>
          <w:rFonts w:ascii="Charter" w:hAnsi="Charter"/>
        </w:rPr>
        <w:t>)</w:t>
      </w:r>
      <w:r w:rsidR="009629BD">
        <w:rPr>
          <w:rFonts w:ascii="Charter" w:hAnsi="Charter"/>
        </w:rPr>
        <w:t xml:space="preserve"> sowie das Numpy,</w:t>
      </w:r>
      <w:r w:rsidRPr="000F7464">
        <w:rPr>
          <w:rFonts w:ascii="Charter" w:hAnsi="Charter"/>
        </w:rPr>
        <w:t xml:space="preserve"> das Pyplot Modul</w:t>
      </w:r>
      <w:r w:rsidR="00A54947">
        <w:rPr>
          <w:rFonts w:ascii="Charter" w:hAnsi="Charter"/>
        </w:rPr>
        <w:t xml:space="preserve"> der</w:t>
      </w:r>
      <w:r w:rsidRPr="000F7464">
        <w:rPr>
          <w:rFonts w:ascii="Charter" w:hAnsi="Charter"/>
        </w:rPr>
        <w:t xml:space="preserve"> Matplotlib</w:t>
      </w:r>
      <w:r w:rsidR="00F81CAC">
        <w:rPr>
          <w:rFonts w:ascii="Charter" w:hAnsi="Charter"/>
        </w:rPr>
        <w:t>-Bibliothek und insbesondere die datetime-Bibliothek.</w:t>
      </w:r>
    </w:p>
    <w:p w:rsidR="006C768E" w:rsidRDefault="006C768E" w:rsidP="006C768E">
      <w:pPr>
        <w:rPr>
          <w:rFonts w:ascii="Charter" w:hAnsi="Charter"/>
        </w:rPr>
      </w:pPr>
      <w:r w:rsidRPr="00C55197">
        <w:rPr>
          <w:rFonts w:ascii="Charter" w:hAnsi="Charter"/>
          <w:b/>
          <w:i/>
        </w:rPr>
        <w:t>Anwendung</w:t>
      </w:r>
      <w:r w:rsidRPr="00C55197">
        <w:rPr>
          <w:rFonts w:ascii="Charter" w:hAnsi="Charter"/>
          <w:i/>
        </w:rPr>
        <w:t>:</w:t>
      </w:r>
      <w:r>
        <w:rPr>
          <w:rFonts w:ascii="Charter" w:hAnsi="Charter"/>
        </w:rPr>
        <w:br/>
      </w:r>
      <w:r w:rsidRPr="00C55197">
        <w:rPr>
          <w:rFonts w:ascii="Charter" w:hAnsi="Charter"/>
          <w:i/>
        </w:rPr>
        <w:t>Schritt 1</w:t>
      </w:r>
      <w:r>
        <w:rPr>
          <w:rFonts w:ascii="Charter" w:hAnsi="Charter"/>
        </w:rPr>
        <w:t>: Entpacken Sie das Zip Archiv in einen Ordner Ihrer Wahl (z.B. „C:\Folder“)</w:t>
      </w:r>
      <w:r w:rsidR="00A54947">
        <w:rPr>
          <w:rFonts w:ascii="Charter" w:hAnsi="Charter"/>
        </w:rPr>
        <w:t>.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F539EC">
        <w:rPr>
          <w:rFonts w:ascii="Charter" w:hAnsi="Charter"/>
          <w:i/>
        </w:rPr>
        <w:t>2</w:t>
      </w:r>
      <w:r>
        <w:rPr>
          <w:rFonts w:ascii="Charter" w:hAnsi="Charter"/>
        </w:rPr>
        <w:t xml:space="preserve">: Geben Sie in das 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491CD6">
            <w:pPr>
              <w:ind w:left="708"/>
              <w:rPr>
                <w:rFonts w:ascii="DejaVu Sans Light" w:hAnsi="DejaVu Sans Light" w:cs="DejaVu Sans Light"/>
              </w:rPr>
            </w:pPr>
            <w:r w:rsidRPr="008F3273">
              <w:rPr>
                <w:rFonts w:ascii="DejaVu Sans Light" w:hAnsi="DejaVu Sans Light" w:cs="DejaVu Sans Light"/>
              </w:rPr>
              <w:t>python plotter.py Sour</w:t>
            </w:r>
            <w:r>
              <w:rPr>
                <w:rFonts w:ascii="DejaVu Sans Light" w:hAnsi="DejaVu Sans Light" w:cs="DejaVu Sans Light"/>
              </w:rPr>
              <w:t xml:space="preserve">ce_Datei Ziel_Datei </w:t>
            </w:r>
            <w:r w:rsidR="00693C53">
              <w:rPr>
                <w:rFonts w:ascii="DejaVu Sans Light" w:hAnsi="DejaVu Sans Light" w:cs="DejaVu Sans Light"/>
              </w:rPr>
              <w:t>q=</w:t>
            </w:r>
            <w:r>
              <w:rPr>
                <w:rFonts w:ascii="DejaVu Sans Light" w:hAnsi="DejaVu Sans Light" w:cs="DejaVu Sans Light"/>
              </w:rPr>
              <w:t>Jahresquota</w:t>
            </w:r>
            <w:r w:rsidR="00491CD6">
              <w:rPr>
                <w:rFonts w:ascii="DejaVu Sans Light" w:hAnsi="DejaVu Sans Light" w:cs="DejaVu Sans Light"/>
              </w:rPr>
              <w:t xml:space="preserve"> –s=Startpunkt –p=Projektname</w:t>
            </w:r>
          </w:p>
        </w:tc>
      </w:tr>
    </w:tbl>
    <w:p w:rsidR="00601C00" w:rsidRDefault="006C768E" w:rsidP="006C768E">
      <w:pPr>
        <w:rPr>
          <w:rFonts w:ascii="Charter" w:hAnsi="Charter"/>
        </w:rPr>
      </w:pPr>
      <w:r>
        <w:rPr>
          <w:rFonts w:ascii="Charter" w:hAnsi="Charter"/>
        </w:rPr>
        <w:t>hierbei ersetzen Sie bitte „Source_Datei“ mit dem Namen der Source-Datei,</w:t>
      </w:r>
      <w:r w:rsidR="00D8534F">
        <w:rPr>
          <w:rFonts w:ascii="Charter" w:hAnsi="Charter"/>
        </w:rPr>
        <w:t xml:space="preserve"> inklusive des Pfads, den Sie in Schritt 1 ausgewählt haben,</w:t>
      </w:r>
      <w:r>
        <w:rPr>
          <w:rFonts w:ascii="Charter" w:hAnsi="Charter"/>
        </w:rPr>
        <w:t xml:space="preserve"> das „Ziel_Datei“ mit dem Namen der Ziel-Datei,</w:t>
      </w:r>
      <w:r w:rsidR="00D8534F">
        <w:rPr>
          <w:rFonts w:ascii="Charter" w:hAnsi="Charter"/>
        </w:rPr>
        <w:t xml:space="preserve"> ebenfalls inklusive eines Pfades,</w:t>
      </w:r>
      <w:r>
        <w:rPr>
          <w:rFonts w:ascii="Charter" w:hAnsi="Charter"/>
        </w:rPr>
        <w:t xml:space="preserve"> </w:t>
      </w:r>
      <w:r w:rsidR="00D8534F">
        <w:rPr>
          <w:rFonts w:ascii="Charter" w:hAnsi="Charter"/>
        </w:rPr>
        <w:t xml:space="preserve">sowie </w:t>
      </w:r>
      <w:r>
        <w:rPr>
          <w:rFonts w:ascii="Charter" w:hAnsi="Charter"/>
        </w:rPr>
        <w:t>das „Jahresquota“ mit einer Angabe einer Jahresquote in Corestunden</w:t>
      </w:r>
      <w:r w:rsidR="006759A8">
        <w:rPr>
          <w:rFonts w:ascii="Charter" w:hAnsi="Charter"/>
        </w:rPr>
        <w:t xml:space="preserve"> (z.B „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9B29C9">
            <w:pPr>
              <w:ind w:left="708"/>
              <w:rPr>
                <w:rFonts w:ascii="DejaVu Sans Light" w:hAnsi="DejaVu Sans Light" w:cs="DejaVu Sans Light"/>
              </w:rPr>
            </w:pPr>
            <w:r w:rsidRPr="00601C00">
              <w:rPr>
                <w:rFonts w:ascii="DejaVu Sans Light" w:hAnsi="DejaVu Sans Light" w:cs="DejaVu Sans Light"/>
              </w:rPr>
              <w:t xml:space="preserve">python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Pr="00601C00">
              <w:rPr>
                <w:rFonts w:ascii="DejaVu Sans Light" w:hAnsi="DejaVu Sans Light" w:cs="DejaVu Sans Light"/>
              </w:rPr>
              <w:t xml:space="preserve">plotter.py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Pr="00601C00">
              <w:rPr>
                <w:rFonts w:ascii="DejaVu Sans Light" w:hAnsi="DejaVu Sans Light" w:cs="DejaVu Sans Light"/>
              </w:rPr>
              <w:t xml:space="preserve">Mueller.log-example Abbildung3.png </w:t>
            </w:r>
            <w:r w:rsidR="00AA0A41">
              <w:rPr>
                <w:rFonts w:ascii="DejaVu Sans Light" w:hAnsi="DejaVu Sans Light" w:cs="DejaVu Sans Light"/>
              </w:rPr>
              <w:t>–</w:t>
            </w:r>
            <w:r w:rsidR="0084322B">
              <w:rPr>
                <w:rFonts w:ascii="DejaVu Sans Light" w:hAnsi="DejaVu Sans Light" w:cs="DejaVu Sans Light"/>
              </w:rPr>
              <w:t>q</w:t>
            </w:r>
            <w:r w:rsidR="00AA0A41">
              <w:rPr>
                <w:rFonts w:ascii="DejaVu Sans Light" w:hAnsi="DejaVu Sans Light" w:cs="DejaVu Sans Light"/>
              </w:rPr>
              <w:t>=</w:t>
            </w:r>
            <w:r w:rsidRPr="00601C00">
              <w:rPr>
                <w:rFonts w:ascii="DejaVu Sans Light" w:hAnsi="DejaVu Sans Light" w:cs="DejaVu Sans Light"/>
              </w:rPr>
              <w:t>10000.</w:t>
            </w:r>
            <w:r w:rsidR="00EC44F9">
              <w:rPr>
                <w:rFonts w:ascii="DejaVu Sans Light" w:hAnsi="DejaVu Sans Light" w:cs="DejaVu Sans Light"/>
              </w:rPr>
              <w:t>-s=20</w:t>
            </w:r>
            <w:r w:rsidR="00491CD6">
              <w:rPr>
                <w:rFonts w:ascii="DejaVu Sans Light" w:hAnsi="DejaVu Sans Light" w:cs="DejaVu Sans Light"/>
              </w:rPr>
              <w:t>17-11-07 p=005</w:t>
            </w:r>
          </w:p>
        </w:tc>
      </w:tr>
    </w:tbl>
    <w:p w:rsidR="009B29C9" w:rsidRDefault="00601C00" w:rsidP="006C768E">
      <w:pPr>
        <w:rPr>
          <w:rFonts w:ascii="Charter" w:hAnsi="Charter"/>
        </w:rPr>
      </w:pPr>
      <w:r>
        <w:rPr>
          <w:rFonts w:ascii="Charter" w:hAnsi="Charter"/>
        </w:rPr>
        <w:t>).</w:t>
      </w:r>
      <w:r w:rsidR="00CC3507">
        <w:rPr>
          <w:rFonts w:ascii="Charter" w:hAnsi="Charter"/>
        </w:rPr>
        <w:t xml:space="preserve"> Der Begriff Startpunkt soll mit einem Datum oder einem Datum inklusive sekundengenaue Uhrzeit in folgendem Format angegeben werden:</w:t>
      </w:r>
      <w:r w:rsidR="00CC3507" w:rsidRPr="00CC3507">
        <w:t xml:space="preserve"> </w:t>
      </w:r>
      <w:r w:rsidR="00CC3507">
        <w:t>„</w:t>
      </w:r>
      <w:r w:rsidR="00CC3507" w:rsidRPr="00CC3507">
        <w:rPr>
          <w:rFonts w:ascii="Charter" w:hAnsi="Charter"/>
        </w:rPr>
        <w:t>Y</w:t>
      </w:r>
      <w:r w:rsidR="00CC3507">
        <w:rPr>
          <w:rFonts w:ascii="Charter" w:hAnsi="Charter"/>
        </w:rPr>
        <w:t>Y</w:t>
      </w:r>
      <w:r w:rsidR="00CC3507" w:rsidRPr="00CC3507">
        <w:rPr>
          <w:rFonts w:ascii="Charter" w:hAnsi="Charter"/>
        </w:rPr>
        <w:t>-</w:t>
      </w:r>
      <w:r w:rsidR="00CC3507">
        <w:rPr>
          <w:rFonts w:ascii="Charter" w:hAnsi="Charter"/>
        </w:rPr>
        <w:t>m</w:t>
      </w:r>
      <w:r w:rsidR="00CC3507" w:rsidRPr="00CC3507">
        <w:rPr>
          <w:rFonts w:ascii="Charter" w:hAnsi="Charter"/>
        </w:rPr>
        <w:t>m-</w:t>
      </w:r>
      <w:r w:rsidR="00CC3507">
        <w:rPr>
          <w:rFonts w:ascii="Charter" w:hAnsi="Charter"/>
        </w:rPr>
        <w:t>d</w:t>
      </w:r>
      <w:r w:rsidR="00CC3507" w:rsidRPr="00CC3507">
        <w:rPr>
          <w:rFonts w:ascii="Charter" w:hAnsi="Charter"/>
        </w:rPr>
        <w:t>d-</w:t>
      </w:r>
      <w:r w:rsidR="00CC3507">
        <w:rPr>
          <w:rFonts w:ascii="Charter" w:hAnsi="Charter"/>
        </w:rPr>
        <w:t>H</w:t>
      </w:r>
      <w:r w:rsidR="00CC3507" w:rsidRPr="00CC3507">
        <w:rPr>
          <w:rFonts w:ascii="Charter" w:hAnsi="Charter"/>
        </w:rPr>
        <w:t>H-</w:t>
      </w:r>
      <w:r w:rsidR="00CC3507">
        <w:rPr>
          <w:rFonts w:ascii="Charter" w:hAnsi="Charter"/>
        </w:rPr>
        <w:t>M</w:t>
      </w:r>
      <w:r w:rsidR="00CC3507" w:rsidRPr="00CC3507">
        <w:rPr>
          <w:rFonts w:ascii="Charter" w:hAnsi="Charter"/>
        </w:rPr>
        <w:t>M-</w:t>
      </w:r>
      <w:r w:rsidR="00CC3507">
        <w:rPr>
          <w:rFonts w:ascii="Charter" w:hAnsi="Charter"/>
        </w:rPr>
        <w:t>S</w:t>
      </w:r>
      <w:r w:rsidR="00CC3507" w:rsidRPr="00CC3507">
        <w:rPr>
          <w:rFonts w:ascii="Charter" w:hAnsi="Charter"/>
        </w:rPr>
        <w:t>S</w:t>
      </w:r>
      <w:r w:rsidR="00CC3507">
        <w:rPr>
          <w:rFonts w:ascii="Charter" w:hAnsi="Charter"/>
        </w:rPr>
        <w:t xml:space="preserve">“, der Projektname soll innerhalb des Accountnamens vorkommen. </w:t>
      </w:r>
    </w:p>
    <w:p w:rsidR="00641FFE" w:rsidRDefault="00491CD6" w:rsidP="006C768E">
      <w:pPr>
        <w:rPr>
          <w:rFonts w:ascii="Charter" w:hAnsi="Charter"/>
        </w:rPr>
      </w:pPr>
      <w:r>
        <w:rPr>
          <w:rFonts w:ascii="Charter" w:hAnsi="Charter"/>
        </w:rPr>
        <w:t>Die Parameter Jahresquota, Startpunkt und Projektname sind optional.</w:t>
      </w:r>
    </w:p>
    <w:p w:rsidR="00FB0C04" w:rsidRDefault="006C768E" w:rsidP="006C768E">
      <w:pPr>
        <w:rPr>
          <w:rFonts w:ascii="Charter" w:hAnsi="Charter"/>
        </w:rPr>
      </w:pPr>
      <w:r>
        <w:rPr>
          <w:rFonts w:ascii="Charter" w:hAnsi="Charter"/>
        </w:rPr>
        <w:t>Das Script generiert nun</w:t>
      </w:r>
      <w:r w:rsidR="008F3273">
        <w:rPr>
          <w:rFonts w:ascii="Charter" w:hAnsi="Charter"/>
        </w:rPr>
        <w:t>,</w:t>
      </w:r>
      <w:r>
        <w:rPr>
          <w:rFonts w:ascii="Charter" w:hAnsi="Charter"/>
        </w:rPr>
        <w:t xml:space="preserve"> unter dem von Ihnen angegebenen Namen</w:t>
      </w:r>
      <w:r w:rsidR="008F3273">
        <w:rPr>
          <w:rFonts w:ascii="Charter" w:hAnsi="Charter"/>
        </w:rPr>
        <w:t>,</w:t>
      </w:r>
      <w:r>
        <w:rPr>
          <w:rFonts w:ascii="Charter" w:hAnsi="Charter"/>
        </w:rPr>
        <w:t xml:space="preserve"> eine Grafik, die den Rechenverbrauch des Projekts</w:t>
      </w:r>
      <w:r w:rsidR="00B46008">
        <w:rPr>
          <w:rFonts w:ascii="Charter" w:hAnsi="Charter"/>
        </w:rPr>
        <w:t xml:space="preserve"> (oder, falls Sie keinen Filter mit „p=“ gesetzt haben, aller Projekte)</w:t>
      </w:r>
      <w:r>
        <w:rPr>
          <w:rFonts w:ascii="Charter" w:hAnsi="Charter"/>
        </w:rPr>
        <w:t xml:space="preserve"> visualisiert und das Verhalten in Relation zur Jahresquota farblich markiert (rot: deutlich über Veranschlagung, gelb: über Veranschlagung, </w:t>
      </w:r>
      <w:r w:rsidR="00E609B6">
        <w:rPr>
          <w:rFonts w:ascii="Charter" w:hAnsi="Charter"/>
        </w:rPr>
        <w:t>dunkelgrün</w:t>
      </w:r>
      <w:r>
        <w:rPr>
          <w:rFonts w:ascii="Charter" w:hAnsi="Charter"/>
        </w:rPr>
        <w:t xml:space="preserve">: Innerhalb des Rahmens, </w:t>
      </w:r>
      <w:r w:rsidR="00E609B6">
        <w:rPr>
          <w:rFonts w:ascii="Charter" w:hAnsi="Charter"/>
        </w:rPr>
        <w:t>hellgrün</w:t>
      </w:r>
      <w:r>
        <w:rPr>
          <w:rFonts w:ascii="Charter" w:hAnsi="Charter"/>
        </w:rPr>
        <w:t>: deutlich unter dem zugeteilten Verbrauch).</w:t>
      </w:r>
      <w:r w:rsidR="00F15D43">
        <w:rPr>
          <w:rFonts w:ascii="Charter" w:hAnsi="Charter"/>
        </w:rPr>
        <w:br/>
      </w:r>
      <w:r w:rsidR="00EA41A9">
        <w:rPr>
          <w:rFonts w:ascii="Charter" w:hAnsi="Charter"/>
        </w:rPr>
        <w:t>Für</w:t>
      </w:r>
      <w:r w:rsidR="00A573E3">
        <w:rPr>
          <w:rFonts w:ascii="Charter" w:hAnsi="Charter"/>
        </w:rPr>
        <w:t xml:space="preserve"> Monatsabschnitte </w:t>
      </w:r>
      <w:r w:rsidR="00EA41A9">
        <w:rPr>
          <w:rFonts w:ascii="Charter" w:hAnsi="Charter"/>
        </w:rPr>
        <w:t xml:space="preserve">sind </w:t>
      </w:r>
      <w:r w:rsidR="00A573E3">
        <w:rPr>
          <w:rFonts w:ascii="Charter" w:hAnsi="Charter"/>
        </w:rPr>
        <w:t>109575 Sekunden, also 30,4375 Tage</w:t>
      </w:r>
      <w:r w:rsidR="00EA41A9">
        <w:rPr>
          <w:rFonts w:ascii="Charter" w:hAnsi="Charter"/>
        </w:rPr>
        <w:t xml:space="preserve"> vorgesehen.</w:t>
      </w:r>
      <w:r w:rsidR="000F600B">
        <w:rPr>
          <w:rFonts w:ascii="Charter" w:hAnsi="Charter"/>
        </w:rPr>
        <w:br/>
      </w:r>
    </w:p>
    <w:p w:rsidR="003E18E0" w:rsidRDefault="00E82E62" w:rsidP="003E18E0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4513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must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04" w:rsidRDefault="003E18E0" w:rsidP="003E18E0">
      <w:pPr>
        <w:pStyle w:val="Beschriftung"/>
        <w:rPr>
          <w:rFonts w:ascii="Charter" w:hAnsi="Charter"/>
        </w:rPr>
      </w:pPr>
      <w:r>
        <w:t xml:space="preserve">Abbildung </w:t>
      </w:r>
      <w:r w:rsidR="00641FFE">
        <w:fldChar w:fldCharType="begin"/>
      </w:r>
      <w:r w:rsidR="00641FFE">
        <w:instrText xml:space="preserve"> SEQ Abbildung \* ARABIC </w:instrText>
      </w:r>
      <w:r w:rsidR="00641FFE">
        <w:fldChar w:fldCharType="separate"/>
      </w:r>
      <w:r>
        <w:rPr>
          <w:noProof/>
        </w:rPr>
        <w:t>1</w:t>
      </w:r>
      <w:r w:rsidR="00641FFE">
        <w:rPr>
          <w:noProof/>
        </w:rPr>
        <w:fldChar w:fldCharType="end"/>
      </w:r>
      <w:r>
        <w:t>: Eine Visualisierung einer Log-Datei</w:t>
      </w:r>
    </w:p>
    <w:p w:rsidR="00411B1B" w:rsidRDefault="00411B1B" w:rsidP="006C768E">
      <w:pPr>
        <w:rPr>
          <w:rFonts w:ascii="Charter" w:hAnsi="Charter"/>
        </w:rPr>
      </w:pPr>
    </w:p>
    <w:p w:rsidR="00411B1B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 xml:space="preserve">Das Script erstellt einen Graphen ähnlich dem im Beispielbild. Hier ist in </w:t>
      </w:r>
      <w:r w:rsidR="00E82E62">
        <w:rPr>
          <w:rFonts w:ascii="Charter" w:hAnsi="Charter"/>
        </w:rPr>
        <w:t xml:space="preserve">Grau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Corestunden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>interpretieren, hier durch ein farbiges Highlight der möglichen Quotas.</w:t>
      </w:r>
    </w:p>
    <w:p w:rsidR="003E73F1" w:rsidRDefault="003E73F1" w:rsidP="006C768E">
      <w:pPr>
        <w:rPr>
          <w:rFonts w:ascii="Charter" w:hAnsi="Charter"/>
        </w:rPr>
      </w:pPr>
    </w:p>
    <w:p w:rsidR="00670A45" w:rsidRDefault="000D2135" w:rsidP="006C768E">
      <w:pPr>
        <w:rPr>
          <w:rFonts w:ascii="Charter" w:hAnsi="Charter"/>
        </w:rPr>
      </w:pPr>
      <w:r>
        <w:rPr>
          <w:rFonts w:ascii="Charter" w:hAnsi="Charter"/>
        </w:rPr>
        <w:t>Die Farbliche Einteilung der Gebiete unterteilt die Abschnitte in Bereiche, in denen der Verbrauch unter 70% des Vergleichswertes liegt, solche, in denen er sich zwischen 70% und 110% befindet, sowie den Gelben Bereichen, welche einen Verbrauch zwischen 110% und 150% signalisieren. Darüber hinaus existieren rote Markierungen, welche eine Corerechenzeit von mehr als 150% des Monatsquotas entspricht.</w:t>
      </w:r>
      <w:r w:rsidR="00670A45">
        <w:rPr>
          <w:rFonts w:ascii="Charter" w:hAnsi="Charter"/>
        </w:rPr>
        <w:br/>
        <w:t xml:space="preserve">Als Monatsquota gilt hier </w:t>
      </w:r>
      <w:r w:rsidR="00BA2AAB">
        <w:rPr>
          <w:rFonts w:ascii="Charter" w:hAnsi="Charter"/>
        </w:rPr>
        <w:t xml:space="preserve">ca. </w:t>
      </w:r>
      <w:r w:rsidR="00670A45">
        <w:rPr>
          <w:rFonts w:ascii="Charter" w:hAnsi="Charter"/>
        </w:rPr>
        <w:t>ein zwölftel des als Parameter eingegebenen Jahresquotas.</w:t>
      </w:r>
    </w:p>
    <w:p w:rsidR="00411B1B" w:rsidRDefault="00411B1B" w:rsidP="006C768E">
      <w:pPr>
        <w:rPr>
          <w:rFonts w:ascii="Charter" w:hAnsi="Charter"/>
        </w:rPr>
      </w:pPr>
    </w:p>
    <w:p w:rsidR="00411B1B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i/>
        </w:rPr>
        <w:t>Interna</w:t>
      </w:r>
      <w:r>
        <w:rPr>
          <w:rFonts w:ascii="Charter" w:hAnsi="Charter"/>
        </w:rPr>
        <w:t>:</w:t>
      </w:r>
      <w:r>
        <w:rPr>
          <w:rFonts w:ascii="Charter" w:hAnsi="Charter"/>
        </w:rPr>
        <w:br/>
      </w:r>
      <w:r w:rsidRPr="00950B2D">
        <w:rPr>
          <w:rFonts w:ascii="Charter" w:hAnsi="Charter"/>
          <w:i/>
        </w:rPr>
        <w:t>Funktionen</w:t>
      </w:r>
      <w:r>
        <w:rPr>
          <w:rFonts w:ascii="Charter" w:hAnsi="Charter"/>
        </w:rPr>
        <w:t>:</w:t>
      </w:r>
    </w:p>
    <w:p w:rsidR="00D8534F" w:rsidRDefault="00D8534F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r w:rsidR="008E1CCF">
        <w:rPr>
          <w:rFonts w:ascii="Charter" w:hAnsi="Charter"/>
        </w:rPr>
        <w:t xml:space="preserve">; Diese Funktion dient dem umwandeln von datetime-formaten in </w:t>
      </w:r>
      <w:r w:rsidR="008E1CCF" w:rsidRPr="00950B2D">
        <w:rPr>
          <w:rFonts w:ascii="Charter" w:hAnsi="Charter"/>
        </w:rPr>
        <w:t>Timestamps</w:t>
      </w:r>
      <w:r w:rsidR="008E1CCF">
        <w:rPr>
          <w:rFonts w:ascii="Charter" w:hAnsi="Charter"/>
        </w:rPr>
        <w:t xml:space="preserve">, die pure integer sind. Darüber hinaus dient die Funktion als Filter für nicht auswertbare Daten, speziell „Unknown“, üblicherweise bei Aktionen die noch im Gang sind. </w:t>
      </w:r>
    </w:p>
    <w:p w:rsidR="00FB2C15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lastRenderedPageBreak/>
        <w:t>Colorisation</w:t>
      </w:r>
      <w:r>
        <w:rPr>
          <w:rFonts w:ascii="Charter" w:hAnsi="Charter"/>
        </w:rPr>
        <w:t>; nimmt als Parameter zwei Vergleichswerte entgegen, und gibt für das Verhältnis</w:t>
      </w:r>
      <w:r w:rsidR="0096631A">
        <w:rPr>
          <w:rFonts w:ascii="Charter" w:hAnsi="Charter"/>
        </w:rPr>
        <w:t xml:space="preserve"> </w:t>
      </w:r>
      <w:r>
        <w:rPr>
          <w:rFonts w:ascii="Charter" w:hAnsi="Charter"/>
        </w:rPr>
        <w:t>der beiden eine Farbe zurück.</w:t>
      </w:r>
      <w:r w:rsidR="00FB2C15">
        <w:rPr>
          <w:rFonts w:ascii="Charter" w:hAnsi="Charter"/>
        </w:rPr>
        <w:t xml:space="preserve"> </w:t>
      </w:r>
    </w:p>
    <w:p w:rsidR="00363DB6" w:rsidRDefault="00285B83" w:rsidP="00363DB6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Essentialpar</w:t>
      </w:r>
      <w:r w:rsidRPr="00285B83">
        <w:rPr>
          <w:rFonts w:ascii="Charter" w:hAnsi="Charter"/>
        </w:rPr>
        <w:t>:</w:t>
      </w:r>
      <w:r>
        <w:rPr>
          <w:rFonts w:ascii="Charter" w:hAnsi="Charter"/>
        </w:rPr>
        <w:t xml:space="preserve"> greift die verwendeten Parameter auf, und interpretiert jeden Parameter, der mit „-o“ anfängt als Output, sowie jeden, der mit „-src“ anfängt als Quelldatei für Daten, darüber hinaus alle Parameter, die nicht mit einem „-“ anfangen ebenfalls als Datenquelle, es sei denn, es existiert kein Parameter, der mit „-o“ anfängt. In diesem Fall wird der letzte, vorzeichenlose Parameter als Outputdatei angesehen.</w:t>
      </w:r>
    </w:p>
    <w:p w:rsidR="00363DB6" w:rsidRDefault="00363DB6" w:rsidP="00363DB6">
      <w:pPr>
        <w:ind w:left="993" w:hanging="709"/>
        <w:rPr>
          <w:rFonts w:ascii="Charter" w:hAnsi="Charter"/>
        </w:rPr>
      </w:pPr>
      <w:r w:rsidRPr="00363DB6">
        <w:rPr>
          <w:rFonts w:ascii="Charter" w:hAnsi="Charter"/>
          <w:b/>
        </w:rPr>
        <w:t>Translate_time_to_sec:</w:t>
      </w:r>
      <w:r>
        <w:rPr>
          <w:rFonts w:ascii="Charter" w:hAnsi="Charter"/>
        </w:rPr>
        <w:t xml:space="preserve"> dient der Umwandlung von Zeiträumen, die in einem Format angegeben werden, das aus </w:t>
      </w:r>
      <w:r w:rsidR="00C12E97">
        <w:rPr>
          <w:rFonts w:ascii="Charter" w:hAnsi="Charter"/>
        </w:rPr>
        <w:t xml:space="preserve">optionalen Tagen, Stunden, sowie Sekunden </w:t>
      </w:r>
      <w:bookmarkStart w:id="0" w:name="_GoBack"/>
      <w:bookmarkEnd w:id="0"/>
      <w:r>
        <w:rPr>
          <w:rFonts w:ascii="Charter" w:hAnsi="Charter"/>
        </w:rPr>
        <w:t>besteht. Die Funktion liefert die Anzahl der Sekunden zurück.</w:t>
      </w:r>
    </w:p>
    <w:p w:rsidR="0096631A" w:rsidRPr="00950B2D" w:rsidRDefault="004A1122" w:rsidP="00D8534F">
      <w:pPr>
        <w:ind w:left="993" w:hanging="709"/>
        <w:rPr>
          <w:rFonts w:ascii="Charter" w:hAnsi="Charter"/>
          <w:i/>
        </w:rPr>
      </w:pPr>
      <w:r w:rsidRPr="00950B2D">
        <w:rPr>
          <w:rFonts w:ascii="Charter" w:hAnsi="Charter"/>
          <w:i/>
        </w:rPr>
        <w:t>Globale Variablen</w:t>
      </w:r>
      <w:r w:rsidR="0096631A" w:rsidRPr="00950B2D">
        <w:rPr>
          <w:rFonts w:ascii="Charter" w:hAnsi="Charter"/>
          <w:i/>
        </w:rPr>
        <w:t>: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seconds_per_</w:t>
      </w:r>
      <w:r w:rsidR="000F7464" w:rsidRPr="00950B2D">
        <w:rPr>
          <w:rFonts w:ascii="Charter" w:hAnsi="Charter"/>
          <w:b/>
        </w:rPr>
        <w:t>instances</w:t>
      </w:r>
      <w:r w:rsidR="000F7464">
        <w:rPr>
          <w:rFonts w:ascii="Charter" w:hAnsi="Charter"/>
        </w:rPr>
        <w:t xml:space="preserve"> bezeichnet die Sekundenlänge jeder Instanz.</w:t>
      </w:r>
    </w:p>
    <w:p w:rsidR="00D8534F" w:rsidRDefault="000F7464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n</w:t>
      </w:r>
      <w:r w:rsidR="00740F5C">
        <w:rPr>
          <w:rFonts w:ascii="Charter" w:hAnsi="Charter"/>
          <w:b/>
        </w:rPr>
        <w:t>umber_of</w:t>
      </w:r>
      <w:r w:rsidRPr="00950B2D">
        <w:rPr>
          <w:rFonts w:ascii="Charter" w:hAnsi="Charter"/>
          <w:b/>
        </w:rPr>
        <w:t>_instances</w:t>
      </w:r>
      <w:r>
        <w:rPr>
          <w:rFonts w:ascii="Charter" w:hAnsi="Charter"/>
        </w:rPr>
        <w:t xml:space="preserve"> errechnet hieraus die Anzahl der Instanzen.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x_start</w:t>
      </w:r>
      <w:r>
        <w:rPr>
          <w:rFonts w:ascii="Charter" w:hAnsi="Charter"/>
        </w:rPr>
        <w:t xml:space="preserve"> bezeichnet den Zeitpunkt zu dem der erste Prozess beendet wurde.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y_end</w:t>
      </w:r>
      <w:r>
        <w:rPr>
          <w:rFonts w:ascii="Charter" w:hAnsi="Charter"/>
        </w:rPr>
        <w:t xml:space="preserve"> bezeichnet entsprechend den Endz</w:t>
      </w:r>
      <w:r w:rsidR="0096631A">
        <w:rPr>
          <w:rFonts w:ascii="Charter" w:hAnsi="Charter"/>
        </w:rPr>
        <w:t>eitpunkt des letzten Prozesses.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plot_array</w:t>
      </w:r>
      <w:r w:rsidR="00544601">
        <w:rPr>
          <w:rFonts w:ascii="Charter" w:hAnsi="Charter"/>
        </w:rPr>
        <w:t xml:space="preserve"> beinhaltet die einzelnen Datenpunkte der eingelesenen Datei</w:t>
      </w:r>
      <w:r>
        <w:rPr>
          <w:rFonts w:ascii="Charter" w:hAnsi="Charter"/>
        </w:rPr>
        <w:t>; Zeitpunkt, Rechenzeit und akkumulierte Rechenzeit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</w:t>
      </w:r>
      <w:r>
        <w:rPr>
          <w:rFonts w:ascii="Charter" w:hAnsi="Charter"/>
        </w:rPr>
        <w:t xml:space="preserve"> beinhaltet die y-Wer</w:t>
      </w:r>
      <w:r w:rsidR="00786DD6">
        <w:rPr>
          <w:rFonts w:ascii="Charter" w:hAnsi="Charter"/>
        </w:rPr>
        <w:t>te diese</w:t>
      </w:r>
      <w:r>
        <w:rPr>
          <w:rFonts w:ascii="Charter" w:hAnsi="Charter"/>
        </w:rPr>
        <w:t>r Datenpunkte</w:t>
      </w:r>
      <w:r w:rsidR="008A23DC">
        <w:rPr>
          <w:rFonts w:ascii="Charter" w:hAnsi="Charter"/>
        </w:rPr>
        <w:t>.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tmp_x</w:t>
      </w:r>
      <w:r>
        <w:rPr>
          <w:rFonts w:ascii="Charter" w:hAnsi="Charter"/>
        </w:rPr>
        <w:t xml:space="preserve"> beinhaltet die x-Werte d</w:t>
      </w:r>
      <w:r w:rsidR="00786DD6">
        <w:rPr>
          <w:rFonts w:ascii="Charter" w:hAnsi="Charter"/>
        </w:rPr>
        <w:t>ies</w:t>
      </w:r>
      <w:r>
        <w:rPr>
          <w:rFonts w:ascii="Charter" w:hAnsi="Charter"/>
        </w:rPr>
        <w:t>er Datenpunkte</w:t>
      </w:r>
    </w:p>
    <w:p w:rsidR="00D8534F" w:rsidRDefault="007221CC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tmp_y2</w:t>
      </w:r>
      <w:r>
        <w:rPr>
          <w:rFonts w:ascii="Charter" w:hAnsi="Charter"/>
        </w:rPr>
        <w:t xml:space="preserve"> und </w:t>
      </w:r>
      <w:r w:rsidRPr="00D03B8F">
        <w:rPr>
          <w:rFonts w:ascii="Charter" w:hAnsi="Charter"/>
          <w:b/>
        </w:rPr>
        <w:t>tmp_</w:t>
      </w:r>
      <w:r w:rsidR="00281EAB" w:rsidRPr="00D03B8F">
        <w:rPr>
          <w:rFonts w:ascii="Charter" w:hAnsi="Charter"/>
          <w:b/>
        </w:rPr>
        <w:t>x</w:t>
      </w:r>
      <w:r w:rsidRPr="00D03B8F">
        <w:rPr>
          <w:rFonts w:ascii="Charter" w:hAnsi="Charter"/>
          <w:b/>
        </w:rPr>
        <w:t xml:space="preserve">3 </w:t>
      </w:r>
      <w:r>
        <w:rPr>
          <w:rFonts w:ascii="Charter" w:hAnsi="Charter"/>
        </w:rPr>
        <w:t xml:space="preserve">beinhalten </w:t>
      </w:r>
      <w:r w:rsidR="00BE7B42">
        <w:rPr>
          <w:rFonts w:ascii="Charter" w:hAnsi="Charter"/>
        </w:rPr>
        <w:t xml:space="preserve">x- und </w:t>
      </w:r>
      <w:r w:rsidR="000B66E4">
        <w:rPr>
          <w:rFonts w:ascii="Charter" w:hAnsi="Charter"/>
        </w:rPr>
        <w:t>y-</w:t>
      </w:r>
      <w:r>
        <w:rPr>
          <w:rFonts w:ascii="Charter" w:hAnsi="Charter"/>
        </w:rPr>
        <w:t>Werte für die Quotenvisualisierungen.</w:t>
      </w:r>
    </w:p>
    <w:p w:rsidR="0034674B" w:rsidRDefault="00F61C39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col</w:t>
      </w:r>
      <w:r>
        <w:rPr>
          <w:rFonts w:ascii="Charter" w:hAnsi="Charter"/>
        </w:rPr>
        <w:t xml:space="preserve"> bezeichnet die aktuell verwendete Farbe.</w:t>
      </w:r>
    </w:p>
    <w:sectPr w:rsidR="00346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968F8"/>
    <w:rsid w:val="000B66E4"/>
    <w:rsid w:val="000D2135"/>
    <w:rsid w:val="000F600B"/>
    <w:rsid w:val="000F7464"/>
    <w:rsid w:val="000F7DD7"/>
    <w:rsid w:val="00180C72"/>
    <w:rsid w:val="001E7D66"/>
    <w:rsid w:val="001F6319"/>
    <w:rsid w:val="00281EAB"/>
    <w:rsid w:val="00285B83"/>
    <w:rsid w:val="002C65E0"/>
    <w:rsid w:val="002F4496"/>
    <w:rsid w:val="00324EB6"/>
    <w:rsid w:val="003321F2"/>
    <w:rsid w:val="0034674B"/>
    <w:rsid w:val="00363DB6"/>
    <w:rsid w:val="003E18E0"/>
    <w:rsid w:val="003E73F1"/>
    <w:rsid w:val="003F0CD3"/>
    <w:rsid w:val="00411B1B"/>
    <w:rsid w:val="004125A8"/>
    <w:rsid w:val="00491CD6"/>
    <w:rsid w:val="00497E47"/>
    <w:rsid w:val="004A1122"/>
    <w:rsid w:val="00544601"/>
    <w:rsid w:val="00601C00"/>
    <w:rsid w:val="0061197C"/>
    <w:rsid w:val="00614C55"/>
    <w:rsid w:val="00641FFE"/>
    <w:rsid w:val="00670A45"/>
    <w:rsid w:val="006759A8"/>
    <w:rsid w:val="00693C53"/>
    <w:rsid w:val="006C768E"/>
    <w:rsid w:val="007221CC"/>
    <w:rsid w:val="00740F5C"/>
    <w:rsid w:val="00742160"/>
    <w:rsid w:val="00786DD6"/>
    <w:rsid w:val="0084322B"/>
    <w:rsid w:val="00890285"/>
    <w:rsid w:val="008A23DC"/>
    <w:rsid w:val="008A3C51"/>
    <w:rsid w:val="008E1CCF"/>
    <w:rsid w:val="008F3273"/>
    <w:rsid w:val="009063AA"/>
    <w:rsid w:val="00950B2D"/>
    <w:rsid w:val="009629BD"/>
    <w:rsid w:val="0096631A"/>
    <w:rsid w:val="00976F21"/>
    <w:rsid w:val="00982918"/>
    <w:rsid w:val="009B29C9"/>
    <w:rsid w:val="009C1D37"/>
    <w:rsid w:val="00A54947"/>
    <w:rsid w:val="00A573E3"/>
    <w:rsid w:val="00A70C0C"/>
    <w:rsid w:val="00AA0A41"/>
    <w:rsid w:val="00B244B7"/>
    <w:rsid w:val="00B46008"/>
    <w:rsid w:val="00BA2AAB"/>
    <w:rsid w:val="00BA4F17"/>
    <w:rsid w:val="00BD63A4"/>
    <w:rsid w:val="00BE7B42"/>
    <w:rsid w:val="00C12E97"/>
    <w:rsid w:val="00C16D08"/>
    <w:rsid w:val="00C55197"/>
    <w:rsid w:val="00C90B68"/>
    <w:rsid w:val="00CB494B"/>
    <w:rsid w:val="00CC3507"/>
    <w:rsid w:val="00CD383A"/>
    <w:rsid w:val="00CE5D0E"/>
    <w:rsid w:val="00D03B8F"/>
    <w:rsid w:val="00D138A5"/>
    <w:rsid w:val="00D8534F"/>
    <w:rsid w:val="00D86219"/>
    <w:rsid w:val="00DF18EA"/>
    <w:rsid w:val="00E609B6"/>
    <w:rsid w:val="00E82E62"/>
    <w:rsid w:val="00EA41A9"/>
    <w:rsid w:val="00EC44F9"/>
    <w:rsid w:val="00EF0BEE"/>
    <w:rsid w:val="00F15D43"/>
    <w:rsid w:val="00F539EC"/>
    <w:rsid w:val="00F61C39"/>
    <w:rsid w:val="00F81CAC"/>
    <w:rsid w:val="00F915EC"/>
    <w:rsid w:val="00FB0C04"/>
    <w:rsid w:val="00FB1D44"/>
    <w:rsid w:val="00FB2C15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A02C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15</cp:revision>
  <dcterms:created xsi:type="dcterms:W3CDTF">2018-08-07T06:19:00Z</dcterms:created>
  <dcterms:modified xsi:type="dcterms:W3CDTF">2018-08-10T14:14:00Z</dcterms:modified>
</cp:coreProperties>
</file>