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2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Punto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Desarrolle una historia de usuario, en la cual </w:t>
      </w:r>
      <w:r w:rsidDel="00000000" w:rsidR="00000000" w:rsidRPr="00000000">
        <w:rPr>
          <w:rtl w:val="0"/>
        </w:rPr>
        <w:t xml:space="preserve">defina</w:t>
      </w:r>
      <w:r w:rsidDel="00000000" w:rsidR="00000000" w:rsidRPr="00000000">
        <w:rPr>
          <w:rtl w:val="0"/>
        </w:rPr>
        <w:t xml:space="preserve"> la visualización y movimiento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 una clase GameObject, de la que heredan Shooter y Asteroide. GameObjects 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abstracta, y posee atributos protegidos: posición, imagen; además del método abstracto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display() y mover(). Además debe poseer un HUD que visualice la cantidad de vidas del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Shooter. Utilice un JoyPad para generar los movimientos.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5816001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5816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sz w:val="36"/>
          <w:szCs w:val="36"/>
        </w:rPr>
      </w:pPr>
      <w:bookmarkStart w:colFirst="0" w:colLast="0" w:name="_misdk6vrr7to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Punto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Desarrolle un videojuego que cumpla con las siguientes especificaciones: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Realice un diagrama de clases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8075" cy="2152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Como se observa se trata de un dado. El cual al presionar un botón debe generar un número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aleatorio entre 1 y 6 y dibujarlo. Además, debe mostrar el número en la parte superior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derecha. Repetir esto cuantas veces lo desee y al finalizar (con otro botón) debe dibujar por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consola y agrupado en filas de 4 columnas los dados obtenidos.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 momento de programar utilice constructores sobrecargados. Considere que el dado 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muestra en un tablero, este tablero contiene al dado, y al texto.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Además, almacene cada dado obtenido en un arreglo. Considere aplicar la herencia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respecto de que existe una clase abstracta padre GameObject, de la que hereda la posición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 el método abstracto display(). Luego recrear otra versión donde use imágenes en lugar 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dibujar con las primitivas.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160" w:line="259" w:lineRule="auto"/>
        <w:rPr>
          <w:sz w:val="36"/>
          <w:szCs w:val="36"/>
        </w:rPr>
      </w:pPr>
      <w:bookmarkStart w:colFirst="0" w:colLast="0" w:name="_uy81tuansr1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widowControl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A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3" name="image2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3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A4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A5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A6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A7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0A8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