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10426"/>
      </w:tblGrid>
      <w:tr>
        <w:tc>
          <w:tcPr>
            <w:tcW w:type="dxa" w:w="10426"/>
            <w:shd w:fill="006046"/>
          </w:tcPr>
          <w:p>
            <w:pPr>
              <w:jc w:val="right"/>
            </w:pPr>
            <w:r/>
            <w:r>
              <w:rPr>
                <w:b/>
                <w:color w:val="FFFFFF"/>
                <w:sz w:val="16"/>
              </w:rPr>
              <w:t>Articles  |  Análisis de Datos e Inferencia Estadística — Universidad del Desarrollo, 2026</w:t>
            </w:r>
          </w:p>
        </w:tc>
      </w:tr>
    </w:tbl>
    <w:p/>
    <w:p>
      <w:pPr>
        <w:jc w:val="center"/>
      </w:pPr>
      <w:r>
        <w:rPr>
          <w:b/>
          <w:sz w:val="30"/>
        </w:rPr>
        <w:t>Variabilidad en el Tratamiento Oncológico y sus Efectos sobre la Mortalidad y la Estadía Hospitalaria en el Sistema Público Chileno</w:t>
      </w:r>
    </w:p>
    <w:p>
      <w:pPr>
        <w:jc w:val="center"/>
      </w:pPr>
      <w:r>
        <w:rPr>
          <w:sz w:val="18"/>
        </w:rPr>
        <w:t>Vicente Rodríguez, José Tomás Amat, Sebastián Herrera</w:t>
      </w:r>
    </w:p>
    <w:p>
      <w:pPr>
        <w:jc w:val="center"/>
      </w:pPr>
      <w:r>
        <w:rPr>
          <w:i/>
          <w:sz w:val="16"/>
        </w:rPr>
        <w:t>Escuela de Ingeniería, Universidad del Desarrollo, Santiago, Chile</w:t>
      </w:r>
    </w:p>
    <w:p>
      <w:pPr>
        <w:jc w:val="center"/>
      </w:pPr>
      <w:r>
        <w:rPr>
          <w:sz w:val="16"/>
        </w:rPr>
        <w:t>Curso: Análisis de Datos e Inferencia Estadística — UDD 2026</w:t>
      </w:r>
    </w:p>
    <w:p>
      <w:pPr>
        <w:jc w:val="center"/>
      </w:pPr>
      <w:r>
        <w:rPr>
          <w:sz w:val="16"/>
        </w:rPr>
        <w:t>Profesora: Karen Oróstica  |  Ayudante: David Hernández</w:t>
      </w:r>
    </w:p>
    <w:p>
      <w:pPr>
        <w:jc w:val="center"/>
      </w:pPr>
      <w:r>
        <w:rPr>
          <w:i/>
          <w:sz w:val="16"/>
        </w:rPr>
        <w:t>Mayo 2026</w:t>
      </w:r>
    </w:p>
    <w:p/>
    <w:p>
      <w:pPr>
        <w:pStyle w:val="Heading1"/>
        <w:spacing w:after="80"/>
      </w:pPr>
      <w:r>
        <w:rPr>
          <w:b/>
          <w:color w:val="006046"/>
          <w:sz w:val="22"/>
        </w:rPr>
        <w:t>Resumen</w:t>
      </w:r>
    </w:p>
    <w:p>
      <w:pPr>
        <w:spacing w:after="120"/>
        <w:jc w:val="both"/>
      </w:pPr>
      <w:r>
        <w:rPr>
          <w:rFonts w:ascii="Times New Roman" w:hAnsi="Times New Roman"/>
          <w:b/>
          <w:sz w:val="20"/>
        </w:rPr>
        <w:t>Antecedentes</w:t>
      </w:r>
    </w:p>
    <w:p>
      <w:pPr>
        <w:spacing w:after="120"/>
        <w:jc w:val="both"/>
      </w:pPr>
      <w:r>
        <w:rPr>
          <w:rFonts w:ascii="Times New Roman" w:hAnsi="Times New Roman"/>
          <w:sz w:val="20"/>
        </w:rPr>
        <w:t>El cáncer gástrico es la principal causa oncológica de muerte en el sistema público chileno. Evaluamos si el hospital determina estadía, procedimientos y mortalidad, ajustando por severidad clínica.</w:t>
      </w:r>
    </w:p>
    <w:p>
      <w:pPr>
        <w:spacing w:after="120"/>
        <w:jc w:val="both"/>
      </w:pPr>
      <w:r>
        <w:rPr>
          <w:rFonts w:ascii="Times New Roman" w:hAnsi="Times New Roman"/>
          <w:b/>
          <w:sz w:val="20"/>
        </w:rPr>
        <w:t>Métodos</w:t>
      </w:r>
    </w:p>
    <w:p>
      <w:pPr>
        <w:spacing w:after="120"/>
        <w:jc w:val="both"/>
      </w:pPr>
      <w:r>
        <w:rPr>
          <w:rFonts w:ascii="Times New Roman" w:hAnsi="Times New Roman"/>
          <w:sz w:val="20"/>
        </w:rPr>
        <w:t>Análisis transversal de base GRD 2019–2024 (17.096 egresos C16.*). Se aplicaron pruebas de Kruskal-Wallis, regresión logística, OLS con errores HC3, modelo multinivel e ICC, y clustering K-means.</w:t>
      </w:r>
    </w:p>
    <w:p>
      <w:pPr>
        <w:spacing w:after="120"/>
        <w:jc w:val="both"/>
      </w:pPr>
      <w:r>
        <w:rPr>
          <w:rFonts w:ascii="Times New Roman" w:hAnsi="Times New Roman"/>
          <w:b/>
          <w:sz w:val="20"/>
        </w:rPr>
        <w:t>Hallazgos</w:t>
      </w:r>
    </w:p>
    <w:p>
      <w:pPr>
        <w:spacing w:after="120"/>
        <w:jc w:val="both"/>
      </w:pPr>
      <w:r>
        <w:rPr>
          <w:rFonts w:ascii="Times New Roman" w:hAnsi="Times New Roman"/>
          <w:sz w:val="20"/>
        </w:rPr>
        <w:t>Diferencias significativas en procedimientos entre hospitales (H = 1.909,40; p &lt; 0,001). Cada procedimiento adicional aumentó odds de mortalidad (OR = 1,053; IC95 % 1,030–1,076) y estadía (+9,7 %; β = 0,093). El ICC del modelo multinivel fue 0,00 %. El quintil IDH más alto mostró mayor mortalidad que el más bajo (Q5 = 6,2 % vs Q1 = 5,1 %). Se identificaron dos tipologías hospitalarias (k = 2).</w:t>
      </w:r>
    </w:p>
    <w:p>
      <w:pPr>
        <w:spacing w:after="120"/>
        <w:jc w:val="both"/>
      </w:pPr>
      <w:r>
        <w:rPr>
          <w:rFonts w:ascii="Times New Roman" w:hAnsi="Times New Roman"/>
          <w:b/>
          <w:sz w:val="20"/>
        </w:rPr>
        <w:t>Interpretación</w:t>
      </w:r>
    </w:p>
    <w:p>
      <w:pPr>
        <w:spacing w:after="120"/>
        <w:jc w:val="both"/>
      </w:pPr>
      <w:r>
        <w:rPr>
          <w:rFonts w:ascii="Times New Roman" w:hAnsi="Times New Roman"/>
          <w:sz w:val="20"/>
        </w:rPr>
        <w:t>La variación en procedimientos entre hospitales es estadísticamente significativa, pero el modelo multinivel no detectó varianza institucional residual en estadía después de controlar por covariables clínicas. El gradiente IDH invertido sugiere que la mortalidad intrahospitalaria no sigue el patrón esperado de desventaja socioeconómica en este contexto, lo que puede reflejar sesgos de selección o limitaciones del enlace comunal. Los hallazgos subrayan la importancia de controlar rigurosamente por severidad clínica antes de atribuir diferencias a efectos institucionales.</w:t>
      </w:r>
    </w:p>
    <w:p>
      <w:pPr>
        <w:jc w:val="left"/>
      </w:pPr>
      <w:r>
        <w:rPr>
          <w:b/>
          <w:sz w:val="18"/>
        </w:rPr>
        <w:t xml:space="preserve">Palabras clave: </w:t>
      </w:r>
      <w:r>
        <w:rPr>
          <w:i/>
          <w:sz w:val="18"/>
        </w:rPr>
        <w:t>cáncer gástrico, variabilidad hospitalaria, correlación intraclase, Chile, base GRD, equidad en salud, determinantes socioeconómicos</w:t>
      </w:r>
    </w:p>
    <w:p/>
    <w:p>
      <w:pPr>
        <w:pStyle w:val="Heading1"/>
        <w:spacing w:after="80"/>
      </w:pPr>
      <w:r>
        <w:rPr>
          <w:b/>
          <w:color w:val="006046"/>
          <w:sz w:val="22"/>
        </w:rPr>
        <w:t>Contexto de la investigación</w:t>
      </w:r>
    </w:p>
    <w:p>
      <w:pPr>
        <w:spacing w:after="120"/>
        <w:jc w:val="both"/>
      </w:pPr>
      <w:r>
        <w:rPr>
          <w:rFonts w:ascii="Times New Roman" w:hAnsi="Times New Roman"/>
          <w:b/>
          <w:sz w:val="20"/>
        </w:rPr>
        <w:t>Evidencia previa</w:t>
      </w:r>
    </w:p>
    <w:p>
      <w:pPr>
        <w:spacing w:after="120"/>
        <w:jc w:val="both"/>
      </w:pPr>
      <w:r>
        <w:rPr>
          <w:rFonts w:ascii="Times New Roman" w:hAnsi="Times New Roman"/>
          <w:sz w:val="20"/>
        </w:rPr>
        <w:t>La variación hospitalaria en desenlaces oncológicos se ha documentado en países de altos ingresos (Kamaraju et al., 2022; OCDE, 2023). Sin embargo, la evidencia en Latinoamérica usando datos administrativos nacionales es escasa. Los trabajos previos sobre la base GRD de Chile se han centrado en multimorbilidad (Bernal et al., 2026), pero no en la variabilidad interinstitucional en intensidad de tratamiento ni en sus determinantes socioeconómicos.</w:t>
      </w:r>
    </w:p>
    <w:p>
      <w:pPr>
        <w:spacing w:after="120"/>
        <w:jc w:val="both"/>
      </w:pPr>
      <w:r>
        <w:rPr>
          <w:rFonts w:ascii="Times New Roman" w:hAnsi="Times New Roman"/>
          <w:b/>
          <w:sz w:val="20"/>
        </w:rPr>
        <w:t>Valor agregado de este estudio</w:t>
      </w:r>
    </w:p>
    <w:p>
      <w:pPr>
        <w:spacing w:after="120"/>
        <w:jc w:val="both"/>
      </w:pPr>
      <w:r>
        <w:rPr>
          <w:rFonts w:ascii="Times New Roman" w:hAnsi="Times New Roman"/>
          <w:sz w:val="20"/>
        </w:rPr>
        <w:t>Este es el primer análisis nacional de variación hospitalaria en cáncer gástrico en Chile usando datos GRD de seis años (2019–2024) y 15 hospitales públicos de alto volumen. Cuantificamos la contribución institucional a la varianza mediante un modelo multinivel (ICC = 0,00 %), vinculamos la variación en tratamiento con indicadores socioeconómicos territoriales mediante quintiles de IDH (gradiente invertido), y caracterizamos dos tipologías hospitalarias mediante clustering no supervisado —proporcionando evidencia aplicable para la gobernanza del sistema de salud.</w:t>
      </w:r>
    </w:p>
    <w:p>
      <w:pPr>
        <w:spacing w:after="120"/>
        <w:jc w:val="both"/>
      </w:pPr>
      <w:r>
        <w:rPr>
          <w:rFonts w:ascii="Times New Roman" w:hAnsi="Times New Roman"/>
          <w:b/>
          <w:sz w:val="20"/>
        </w:rPr>
        <w:t>Implicancias de toda la evidencia disponible</w:t>
      </w:r>
    </w:p>
    <w:p>
      <w:pPr>
        <w:spacing w:after="120"/>
        <w:jc w:val="both"/>
      </w:pPr>
      <w:r>
        <w:rPr>
          <w:rFonts w:ascii="Times New Roman" w:hAnsi="Times New Roman"/>
          <w:sz w:val="20"/>
        </w:rPr>
        <w:t>La variación en procedimientos entre hospitales es estadísticamente significativa, pero el efecto institucional residual en estadía es nulo después de ajustar por covariables clínicas. El gradiente IDH invertido sugiere que la mortalidad intrahospitalaria no sigue el patrón esperado de desventaja socioeconómica, posiblemente por sesgos de selección (pacientes de mayor IDH acceden a hospitales de mayor complejidad donde la mortalidad es mayor por mayor severidad). La estandarización de protocolos oncológicos sigue siendo prioritaria dada la variabilidad procedimental detectada.</w:t>
      </w:r>
    </w:p>
    <w:p>
      <w:r>
        <w:br w:type="page"/>
      </w:r>
    </w:p>
    <w:p>
      <w:pPr>
        <w:pStyle w:val="Heading1"/>
        <w:spacing w:after="80"/>
      </w:pPr>
      <w:r>
        <w:rPr>
          <w:b/>
          <w:color w:val="006046"/>
          <w:sz w:val="22"/>
        </w:rPr>
        <w:t>2. Introducción y Pregunta de Investigación</w:t>
      </w:r>
    </w:p>
    <w:p>
      <w:pPr>
        <w:spacing w:after="120"/>
        <w:jc w:val="both"/>
      </w:pPr>
      <w:r>
        <w:rPr>
          <w:rFonts w:ascii="Times New Roman" w:hAnsi="Times New Roman"/>
          <w:sz w:val="20"/>
        </w:rPr>
        <w:t>El cáncer es la segunda causa de muerte en Chile y la principal contribuyente a años de vida perdidos prematuramente. Entre los cánceres digestivos, el cáncer gástrico (CIE-10: C16) ocupa el primer lugar en incidencia y mortalidad dentro del sistema público de salud, con tasas de supervivencia a cinco años sustancialmente inferiores a las reportadas en países de altos ingresos.</w:t>
      </w:r>
    </w:p>
    <w:p>
      <w:pPr>
        <w:spacing w:after="120"/>
        <w:jc w:val="both"/>
      </w:pPr>
      <w:r>
        <w:rPr>
          <w:rFonts w:ascii="Times New Roman" w:hAnsi="Times New Roman"/>
          <w:sz w:val="20"/>
        </w:rPr>
        <w:t>Una creciente evidencia internacional demuestra que la variabilidad hospitalaria en el cuidado oncológico —diferencias en el uso de procedimientos, intensidad terapéutica y desenlaces entre instituciones— no se explica completamente por las características clínicas de los pacientes hospitalizados. Esta variabilidad clínica no justificada (Wennberg, 2010) tiene implicaciones directas para la equidad en salud: cuando los desenlaces dependen parcialmente de dónde recibe atención el paciente en lugar de sus necesidades clínicas, el acceso a tratamiento de calidad se convierte en función de la geografía y el estatus socioeconómico.</w:t>
      </w:r>
    </w:p>
    <w:p>
      <w:pPr>
        <w:spacing w:after="120"/>
        <w:jc w:val="both"/>
      </w:pPr>
      <w:r>
        <w:rPr>
          <w:rFonts w:ascii="Times New Roman" w:hAnsi="Times New Roman"/>
          <w:sz w:val="20"/>
        </w:rPr>
        <w:t>En Chile, el sistema público (FONASA) cubre aproximadamente el 80% de la población y opera a través de una red de hospitales con niveles heterogéneos de complejidad, dotación de recursos y distribución geográfica. Los hospitales que atienden territorios de menores ingresos —identificados mediante el Índice de Desarrollo Humano (IDH) comunal— enfrentan barreras adicionales: mayores proporciones de presentaciones en etapas avanzadas, ingresos de urgencia y capacidad terapéutica restringida. La intersección entre variación institucional y desventaja socioeconómica crea un riesgo compuesto para los pacientes en las comunidades más vulnerables.</w:t>
      </w:r>
    </w:p>
    <w:p>
      <w:pPr>
        <w:spacing w:after="120"/>
        <w:jc w:val="both"/>
      </w:pPr>
      <w:r>
        <w:rPr>
          <w:rFonts w:ascii="Times New Roman" w:hAnsi="Times New Roman"/>
          <w:sz w:val="20"/>
        </w:rPr>
        <w:t>A pesar de la disponibilidad de una base de datos GRD nacional que cubre todas las hospitalizaciones públicas, ningún estudio ha cuantificado la variación inter-hospitalaria en los desenlaces de cáncer gástrico usando métodos multinivel, ni ha vinculado esta variación al perfil socioeconómico del territorio de atención. Este trabajo representa el análisis integrado final de un proyecto que comenzó con el análisis exploratorio del universo GRD completo (2019–2024) y avanzó hacia pruebas estadísticas focalizadas en el subconjunto C16.*, culminando en las extensiones multinivel, socioeconómicas y de clustering aquí reportadas.</w:t>
      </w:r>
    </w:p>
    <w:p>
      <w:pPr>
        <w:spacing w:after="120"/>
        <w:jc w:val="both"/>
      </w:pPr>
      <w:r>
        <w:rPr>
          <w:rFonts w:ascii="Times New Roman" w:hAnsi="Times New Roman"/>
          <w:sz w:val="20"/>
        </w:rPr>
        <w:t>Pregunta de investigación: ¿En qué medida el hospital de atención determina los días de estadía, la cantidad de procedimientos y la mortalidad intrahospitalaria en pacientes con cáncer gástrico (C16.*) en el sistema público chileno, controlando las características clínicas del paciente?</w:t>
      </w:r>
    </w:p>
    <w:p>
      <w:pPr>
        <w:spacing w:after="120"/>
        <w:jc w:val="both"/>
      </w:pPr>
      <w:r>
        <w:rPr>
          <w:rFonts w:ascii="Times New Roman" w:hAnsi="Times New Roman"/>
          <w:sz w:val="20"/>
        </w:rPr>
        <w:t>Hipótesis general: existe variabilidad inter-hospitalaria significativa que no se explica por las características observables del paciente. Específicamente: (H₁) la distribución de procedimientos difiere significativamente entre hospitales; (H₂) la cantidad de procedimientos se asocia con la mortalidad intrahospitalaria ajustando por covariables clínicas; (H₃) la cantidad de procedimientos predice la estadía hospitalaria después de ajuste similar. Adicionalmente, cuantificamos la contribución institucional a la varianza mediante el ICC, caracterizamos el gradiente socioeconómico en los desenlaces e identificamos tipologías hospitalarias distintas mediante clustering no supervisado.</w:t>
      </w:r>
    </w:p>
    <w:p>
      <w:pPr>
        <w:pStyle w:val="Heading1"/>
        <w:spacing w:after="80"/>
      </w:pPr>
      <w:r>
        <w:rPr>
          <w:b/>
          <w:color w:val="006046"/>
          <w:sz w:val="22"/>
        </w:rPr>
        <w:t>3. Descripción del Dataset</w:t>
      </w:r>
    </w:p>
    <w:p>
      <w:pPr>
        <w:spacing w:after="120"/>
        <w:jc w:val="both"/>
      </w:pPr>
      <w:r>
        <w:rPr>
          <w:rFonts w:ascii="Times New Roman" w:hAnsi="Times New Roman"/>
          <w:sz w:val="20"/>
        </w:rPr>
        <w:t>Trabajamos con la base GRD Público MINSAL/FONASA, un sistema de codificación administrativo que el Ministerio de Salud de Chile utiliza para el pago prospective de hospitalizaciones en el sistema público. La base cubre el 100% de los egresos hospitalarios de instituciones públicas que atienden pacientes FONASA —aproximadamente el 80% de la población chilena— en todas las regiones y niveles de complejidad hospitalaria.</w:t>
      </w:r>
    </w:p>
    <w:p>
      <w:pPr>
        <w:spacing w:after="120"/>
        <w:jc w:val="both"/>
      </w:pPr>
      <w:r>
        <w:rPr>
          <w:rFonts w:ascii="Times New Roman" w:hAnsi="Times New Roman"/>
          <w:sz w:val="20"/>
        </w:rPr>
        <w:t>El período de análisis comprende los años 2019–2024 (seis años calendario). Tras consolidar los seis archivos anuales, la base inicial sumaba aproximadamente 14 millones de egresos. El tipo de datos es administrativo-clínico, transversal por egreso, aunque con cobertura temporal múltiple. La unidad de análisis es el egreso hospitalario (no el paciente único), lo que alinea con la lógica de reporte GRD.</w:t>
      </w:r>
    </w:p>
    <w:tbl>
      <w:tblPr>
        <w:tblStyle w:val="TableGrid"/>
        <w:tblW w:type="auto" w:w="0"/>
        <w:tblLook w:firstColumn="1" w:firstRow="1" w:lastColumn="0" w:lastRow="0" w:noHBand="0" w:noVBand="1" w:val="04A0"/>
      </w:tblPr>
      <w:tblGrid>
        <w:gridCol w:w="5213"/>
        <w:gridCol w:w="5213"/>
      </w:tblGrid>
      <w:tr>
        <w:tc>
          <w:tcPr>
            <w:tcW w:type="dxa" w:w="5213"/>
            <w:shd w:fill="006046"/>
          </w:tcPr>
          <w:p>
            <w:r/>
            <w:r>
              <w:rPr>
                <w:b/>
                <w:color w:val="FFFFFF"/>
                <w:sz w:val="18"/>
              </w:rPr>
              <w:t>Atributo</w:t>
            </w:r>
          </w:p>
        </w:tc>
        <w:tc>
          <w:tcPr>
            <w:tcW w:type="dxa" w:w="5213"/>
            <w:shd w:fill="006046"/>
          </w:tcPr>
          <w:p>
            <w:r/>
            <w:r>
              <w:rPr>
                <w:b/>
                <w:color w:val="FFFFFF"/>
                <w:sz w:val="18"/>
              </w:rPr>
              <w:t>Descripción</w:t>
            </w:r>
          </w:p>
        </w:tc>
      </w:tr>
      <w:tr>
        <w:tc>
          <w:tcPr>
            <w:tcW w:type="dxa" w:w="5213"/>
          </w:tcPr>
          <w:p>
            <w:r/>
            <w:r>
              <w:rPr>
                <w:sz w:val="18"/>
              </w:rPr>
              <w:t>Fuente</w:t>
            </w:r>
          </w:p>
        </w:tc>
        <w:tc>
          <w:tcPr>
            <w:tcW w:type="dxa" w:w="5213"/>
          </w:tcPr>
          <w:p>
            <w:r/>
            <w:r>
              <w:rPr>
                <w:sz w:val="18"/>
              </w:rPr>
              <w:t>GRD Público MINSAL/FONASA (Ministerio de Salud de Chile)</w:t>
            </w:r>
          </w:p>
        </w:tc>
      </w:tr>
      <w:tr>
        <w:tc>
          <w:tcPr>
            <w:tcW w:type="dxa" w:w="5213"/>
          </w:tcPr>
          <w:p>
            <w:r/>
            <w:r>
              <w:rPr>
                <w:sz w:val="18"/>
              </w:rPr>
              <w:t>Período</w:t>
            </w:r>
          </w:p>
        </w:tc>
        <w:tc>
          <w:tcPr>
            <w:tcW w:type="dxa" w:w="5213"/>
          </w:tcPr>
          <w:p>
            <w:r/>
            <w:r>
              <w:rPr>
                <w:sz w:val="18"/>
              </w:rPr>
              <w:t>2019–2024 (6 años)</w:t>
            </w:r>
          </w:p>
        </w:tc>
      </w:tr>
      <w:tr>
        <w:tc>
          <w:tcPr>
            <w:tcW w:type="dxa" w:w="5213"/>
          </w:tcPr>
          <w:p>
            <w:r/>
            <w:r>
              <w:rPr>
                <w:sz w:val="18"/>
              </w:rPr>
              <w:t>Universo total</w:t>
            </w:r>
          </w:p>
        </w:tc>
        <w:tc>
          <w:tcPr>
            <w:tcW w:type="dxa" w:w="5213"/>
          </w:tcPr>
          <w:p>
            <w:r/>
            <w:r>
              <w:rPr>
                <w:sz w:val="18"/>
              </w:rPr>
              <w:t>~414 755 egresos hospitalarios</w:t>
            </w:r>
          </w:p>
        </w:tc>
      </w:tr>
      <w:tr>
        <w:tc>
          <w:tcPr>
            <w:tcW w:type="dxa" w:w="5213"/>
          </w:tcPr>
          <w:p>
            <w:r/>
            <w:r>
              <w:rPr>
                <w:sz w:val="18"/>
              </w:rPr>
              <w:t>Universo oncológico (C00–D49)</w:t>
            </w:r>
          </w:p>
        </w:tc>
        <w:tc>
          <w:tcPr>
            <w:tcW w:type="dxa" w:w="5213"/>
          </w:tcPr>
          <w:p>
            <w:r/>
            <w:r>
              <w:rPr>
                <w:sz w:val="18"/>
              </w:rPr>
              <w:t>~419 510 egresos tras filtro CIE-10</w:t>
            </w:r>
          </w:p>
        </w:tc>
      </w:tr>
      <w:tr>
        <w:tc>
          <w:tcPr>
            <w:tcW w:type="dxa" w:w="5213"/>
          </w:tcPr>
          <w:p>
            <w:r/>
            <w:r>
              <w:rPr>
                <w:sz w:val="18"/>
              </w:rPr>
              <w:t>Subconjunto focal (C16.*)</w:t>
            </w:r>
          </w:p>
        </w:tc>
        <w:tc>
          <w:tcPr>
            <w:tcW w:type="dxa" w:w="5213"/>
          </w:tcPr>
          <w:p>
            <w:r/>
            <w:r>
              <w:rPr>
                <w:sz w:val="18"/>
              </w:rPr>
              <w:t>~17 096 egresos de cáncer gástrico</w:t>
            </w:r>
          </w:p>
        </w:tc>
      </w:tr>
      <w:tr>
        <w:tc>
          <w:tcPr>
            <w:tcW w:type="dxa" w:w="5213"/>
          </w:tcPr>
          <w:p>
            <w:r/>
            <w:r>
              <w:rPr>
                <w:sz w:val="18"/>
              </w:rPr>
              <w:t>Dataset de regresión (top 15 hospitales)</w:t>
            </w:r>
          </w:p>
        </w:tc>
        <w:tc>
          <w:tcPr>
            <w:tcW w:type="dxa" w:w="5213"/>
          </w:tcPr>
          <w:p>
            <w:r/>
            <w:r>
              <w:rPr>
                <w:sz w:val="18"/>
              </w:rPr>
              <w:t>~9 740 egresos</w:t>
            </w:r>
          </w:p>
        </w:tc>
      </w:tr>
      <w:tr>
        <w:tc>
          <w:tcPr>
            <w:tcW w:type="dxa" w:w="5213"/>
          </w:tcPr>
          <w:p>
            <w:r/>
            <w:r>
              <w:rPr>
                <w:sz w:val="18"/>
              </w:rPr>
              <w:t>Unidad de análisis</w:t>
            </w:r>
          </w:p>
        </w:tc>
        <w:tc>
          <w:tcPr>
            <w:tcW w:type="dxa" w:w="5213"/>
          </w:tcPr>
          <w:p>
            <w:r/>
            <w:r>
              <w:rPr>
                <w:sz w:val="18"/>
              </w:rPr>
              <w:t>Egreso hospitalario (no paciente único)</w:t>
            </w:r>
          </w:p>
        </w:tc>
      </w:tr>
    </w:tbl>
    <w:p/>
    <w:p>
      <w:pPr>
        <w:pStyle w:val="Heading1"/>
        <w:spacing w:after="80"/>
      </w:pPr>
      <w:r>
        <w:rPr>
          <w:b/>
          <w:color w:val="006046"/>
          <w:sz w:val="22"/>
        </w:rPr>
        <w:t>4. Limpieza y Preparación de Datos</w:t>
      </w:r>
    </w:p>
    <w:p>
      <w:pPr>
        <w:spacing w:after="120"/>
        <w:jc w:val="both"/>
      </w:pPr>
      <w:r>
        <w:rPr>
          <w:rFonts w:ascii="Times New Roman" w:hAnsi="Times New Roman"/>
          <w:sz w:val="20"/>
        </w:rPr>
        <w:t>Aplicamos cinco etapas secuenciales de limpieza: (1) restricción a códigos oncológicos CIE-10 C00–D49; (2) exclusión de egresos obstétricos (TIPO_INGRESO = OBSTÉTRICA), que representan un proceso clínicamente incomparable; (3) truncación de outliers en días de estadía en el percentil 99 (P99 = 23 días); (4) restricción a subcódigos C16.*; y (5) restricción adicional a los 15 hospitales de mayor volumen (cada uno con &gt;= 30 egresos C16.*) para los análisis de regresión, garantizando la convergencia del modelo.</w:t>
      </w:r>
    </w:p>
    <w:tbl>
      <w:tblPr>
        <w:tblStyle w:val="TableGrid"/>
        <w:tblW w:type="auto" w:w="0"/>
        <w:tblLook w:firstColumn="1" w:firstRow="1" w:lastColumn="0" w:lastRow="0" w:noHBand="0" w:noVBand="1" w:val="04A0"/>
      </w:tblPr>
      <w:tblGrid>
        <w:gridCol w:w="2606"/>
        <w:gridCol w:w="2606"/>
        <w:gridCol w:w="2606"/>
        <w:gridCol w:w="2606"/>
      </w:tblGrid>
      <w:tr>
        <w:tc>
          <w:tcPr>
            <w:tcW w:type="dxa" w:w="2606"/>
            <w:shd w:fill="006046"/>
          </w:tcPr>
          <w:p>
            <w:r/>
            <w:r>
              <w:rPr>
                <w:b/>
                <w:color w:val="FFFFFF"/>
                <w:sz w:val="18"/>
              </w:rPr>
              <w:t>Etapa</w:t>
            </w:r>
          </w:p>
        </w:tc>
        <w:tc>
          <w:tcPr>
            <w:tcW w:type="dxa" w:w="2606"/>
            <w:shd w:fill="006046"/>
          </w:tcPr>
          <w:p>
            <w:r/>
            <w:r>
              <w:rPr>
                <w:b/>
                <w:color w:val="FFFFFF"/>
                <w:sz w:val="18"/>
              </w:rPr>
              <w:t>Operación</w:t>
            </w:r>
          </w:p>
        </w:tc>
        <w:tc>
          <w:tcPr>
            <w:tcW w:type="dxa" w:w="2606"/>
            <w:shd w:fill="006046"/>
          </w:tcPr>
          <w:p>
            <w:r/>
            <w:r>
              <w:rPr>
                <w:b/>
                <w:color w:val="FFFFFF"/>
                <w:sz w:val="18"/>
              </w:rPr>
              <w:t>N resultante</w:t>
            </w:r>
          </w:p>
        </w:tc>
        <w:tc>
          <w:tcPr>
            <w:tcW w:type="dxa" w:w="2606"/>
            <w:shd w:fill="006046"/>
          </w:tcPr>
          <w:p>
            <w:r/>
            <w:r>
              <w:rPr>
                <w:b/>
                <w:color w:val="FFFFFF"/>
                <w:sz w:val="18"/>
              </w:rPr>
              <w:t>Δ</w:t>
            </w:r>
          </w:p>
        </w:tc>
      </w:tr>
      <w:tr>
        <w:tc>
          <w:tcPr>
            <w:tcW w:type="dxa" w:w="2606"/>
          </w:tcPr>
          <w:p>
            <w:r/>
            <w:r>
              <w:rPr>
                <w:sz w:val="18"/>
              </w:rPr>
              <w:t>1. Filtro CIE-10</w:t>
            </w:r>
          </w:p>
        </w:tc>
        <w:tc>
          <w:tcPr>
            <w:tcW w:type="dxa" w:w="2606"/>
          </w:tcPr>
          <w:p>
            <w:r/>
            <w:r>
              <w:rPr>
                <w:sz w:val="18"/>
              </w:rPr>
              <w:t>Restringir a códigos C00–D49</w:t>
            </w:r>
          </w:p>
        </w:tc>
        <w:tc>
          <w:tcPr>
            <w:tcW w:type="dxa" w:w="2606"/>
          </w:tcPr>
          <w:p>
            <w:r/>
            <w:r>
              <w:rPr>
                <w:sz w:val="18"/>
              </w:rPr>
              <w:t>419 510</w:t>
            </w:r>
          </w:p>
        </w:tc>
        <w:tc>
          <w:tcPr>
            <w:tcW w:type="dxa" w:w="2606"/>
          </w:tcPr>
          <w:p>
            <w:r/>
            <w:r>
              <w:rPr>
                <w:sz w:val="18"/>
              </w:rPr>
              <w:t>−34 823</w:t>
            </w:r>
          </w:p>
        </w:tc>
      </w:tr>
      <w:tr>
        <w:tc>
          <w:tcPr>
            <w:tcW w:type="dxa" w:w="2606"/>
          </w:tcPr>
          <w:p>
            <w:r/>
            <w:r>
              <w:rPr>
                <w:sz w:val="18"/>
              </w:rPr>
              <w:t>2. Exclusión obstétrica</w:t>
            </w:r>
          </w:p>
        </w:tc>
        <w:tc>
          <w:tcPr>
            <w:tcW w:type="dxa" w:w="2606"/>
          </w:tcPr>
          <w:p>
            <w:r/>
            <w:r>
              <w:rPr>
                <w:sz w:val="18"/>
              </w:rPr>
              <w:t>Eliminar TIPO_INGRESO = OBSTÉTRICA</w:t>
            </w:r>
          </w:p>
        </w:tc>
        <w:tc>
          <w:tcPr>
            <w:tcW w:type="dxa" w:w="2606"/>
          </w:tcPr>
          <w:p>
            <w:r/>
            <w:r>
              <w:rPr>
                <w:sz w:val="18"/>
              </w:rPr>
              <w:t>418 440</w:t>
            </w:r>
          </w:p>
        </w:tc>
        <w:tc>
          <w:tcPr>
            <w:tcW w:type="dxa" w:w="2606"/>
          </w:tcPr>
          <w:p>
            <w:r/>
            <w:r>
              <w:rPr>
                <w:sz w:val="18"/>
              </w:rPr>
              <w:t>−1 070</w:t>
            </w:r>
          </w:p>
        </w:tc>
      </w:tr>
      <w:tr>
        <w:tc>
          <w:tcPr>
            <w:tcW w:type="dxa" w:w="2606"/>
          </w:tcPr>
          <w:p>
            <w:r/>
            <w:r>
              <w:rPr>
                <w:sz w:val="18"/>
              </w:rPr>
              <w:t>3. Truncación outliers</w:t>
            </w:r>
          </w:p>
        </w:tc>
        <w:tc>
          <w:tcPr>
            <w:tcW w:type="dxa" w:w="2606"/>
          </w:tcPr>
          <w:p>
            <w:r/>
            <w:r>
              <w:rPr>
                <w:sz w:val="18"/>
              </w:rPr>
              <w:t>P99 = 23 días + fix tipos</w:t>
            </w:r>
          </w:p>
        </w:tc>
        <w:tc>
          <w:tcPr>
            <w:tcW w:type="dxa" w:w="2606"/>
          </w:tcPr>
          <w:p>
            <w:r/>
            <w:r>
              <w:rPr>
                <w:sz w:val="18"/>
              </w:rPr>
              <w:t>414 755</w:t>
            </w:r>
          </w:p>
        </w:tc>
        <w:tc>
          <w:tcPr>
            <w:tcW w:type="dxa" w:w="2606"/>
          </w:tcPr>
          <w:p>
            <w:r/>
            <w:r>
              <w:rPr>
                <w:sz w:val="18"/>
              </w:rPr>
              <w:t>−3 685</w:t>
            </w:r>
          </w:p>
        </w:tc>
      </w:tr>
      <w:tr>
        <w:tc>
          <w:tcPr>
            <w:tcW w:type="dxa" w:w="2606"/>
          </w:tcPr>
          <w:p>
            <w:r/>
            <w:r>
              <w:rPr>
                <w:sz w:val="18"/>
              </w:rPr>
              <w:t>4. Subconjunto focal C16.*</w:t>
            </w:r>
          </w:p>
        </w:tc>
        <w:tc>
          <w:tcPr>
            <w:tcW w:type="dxa" w:w="2606"/>
          </w:tcPr>
          <w:p>
            <w:r/>
            <w:r>
              <w:rPr>
                <w:sz w:val="18"/>
              </w:rPr>
              <w:t>Códigos C16.*</w:t>
            </w:r>
          </w:p>
        </w:tc>
        <w:tc>
          <w:tcPr>
            <w:tcW w:type="dxa" w:w="2606"/>
          </w:tcPr>
          <w:p>
            <w:r/>
            <w:r>
              <w:rPr>
                <w:sz w:val="18"/>
              </w:rPr>
              <w:t>17 096</w:t>
            </w:r>
          </w:p>
        </w:tc>
        <w:tc>
          <w:tcPr>
            <w:tcW w:type="dxa" w:w="2606"/>
          </w:tcPr>
          <w:p>
            <w:r/>
            <w:r>
              <w:rPr>
                <w:sz w:val="18"/>
              </w:rPr>
              <w:t>—</w:t>
            </w:r>
          </w:p>
        </w:tc>
      </w:tr>
      <w:tr>
        <w:tc>
          <w:tcPr>
            <w:tcW w:type="dxa" w:w="2606"/>
          </w:tcPr>
          <w:p>
            <w:r/>
            <w:r>
              <w:rPr>
                <w:sz w:val="18"/>
              </w:rPr>
              <w:t>5. Top 15 hospitales</w:t>
            </w:r>
          </w:p>
        </w:tc>
        <w:tc>
          <w:tcPr>
            <w:tcW w:type="dxa" w:w="2606"/>
          </w:tcPr>
          <w:p>
            <w:r/>
            <w:r>
              <w:rPr>
                <w:sz w:val="18"/>
              </w:rPr>
              <w:t>&gt;= 30 casos C16.*</w:t>
            </w:r>
          </w:p>
        </w:tc>
        <w:tc>
          <w:tcPr>
            <w:tcW w:type="dxa" w:w="2606"/>
          </w:tcPr>
          <w:p>
            <w:r/>
            <w:r>
              <w:rPr>
                <w:sz w:val="18"/>
              </w:rPr>
              <w:t>9 740</w:t>
            </w:r>
          </w:p>
        </w:tc>
        <w:tc>
          <w:tcPr>
            <w:tcW w:type="dxa" w:w="2606"/>
          </w:tcPr>
          <w:p>
            <w:r/>
            <w:r>
              <w:rPr>
                <w:sz w:val="18"/>
              </w:rPr>
              <w:t>—</w:t>
            </w:r>
          </w:p>
        </w:tc>
      </w:tr>
    </w:tbl>
    <w:p/>
    <w:p>
      <w:pPr>
        <w:spacing w:after="120"/>
        <w:jc w:val="both"/>
      </w:pPr>
      <w:r>
        <w:rPr>
          <w:rFonts w:ascii="Times New Roman" w:hAnsi="Times New Roman"/>
          <w:sz w:val="20"/>
        </w:rPr>
        <w:t>La transformación log_dias_estada = log(1 + dias_estada) se justificó por la asimetría &gt; 1.63 en la variable original. La variable comorbilidad se derivó como conteo de diagnósticos secundarios activos (proxy simplificado de Charlson-Deyo).</w:t>
      </w:r>
    </w:p>
    <w:p>
      <w:pPr>
        <w:pStyle w:val="Heading1"/>
        <w:spacing w:after="80"/>
      </w:pPr>
      <w:r>
        <w:rPr>
          <w:b/>
          <w:color w:val="006046"/>
          <w:sz w:val="22"/>
        </w:rPr>
        <w:t>5. Análisis Exploratorio de Datos (EDA)</w:t>
      </w:r>
    </w:p>
    <w:p>
      <w:pPr>
        <w:pStyle w:val="Heading2"/>
        <w:spacing w:after="80"/>
      </w:pPr>
      <w:r>
        <w:rPr>
          <w:b/>
          <w:i/>
          <w:color w:val="006046"/>
          <w:sz w:val="20"/>
        </w:rPr>
        <w:t>5.1 Estadística descriptiva</w:t>
      </w:r>
    </w:p>
    <w:p>
      <w:pPr>
        <w:spacing w:after="120"/>
        <w:jc w:val="both"/>
      </w:pPr>
      <w:r>
        <w:rPr>
          <w:rFonts w:ascii="Times New Roman" w:hAnsi="Times New Roman"/>
          <w:sz w:val="20"/>
        </w:rPr>
        <w:t>Las variables continuas se resumieron como media +/- DE y mediana (RIC); las variables categóricas como frecuencias y porcentajes. Se construyeron matrices de correlación de Pearson y tabulaciones cruzadas bivariadas para todos los pares resultado–covariable.</w:t>
      </w:r>
    </w:p>
    <w:p>
      <w:pPr>
        <w:spacing w:after="120"/>
        <w:jc w:val="both"/>
      </w:pPr>
      <w:r>
        <w:rPr>
          <w:rFonts w:ascii="Times New Roman" w:hAnsi="Times New Roman"/>
          <w:sz w:val="20"/>
        </w:rPr>
        <w:t>La edad media fue 66.5 +/- 12.0 años. Los pacientes masculinos representaron el 67.3% de los egresos C16.*. La mediana de estadía fue 5 días (RIC 4–7), con asimetría derecha (sesgo = 1.63) que justifica la transformación logarítmica. La cantidad de procedimientos fue 8.82 +/- 6.47 (mediana 7; RIC 3–14). La tasa global de mortalidad intrahospitalaria fue 5.56%, consistente con un perfil clínicamente severo de presentación en etapa avanzada.</w:t>
      </w:r>
    </w:p>
    <w:p>
      <w:pPr>
        <w:pStyle w:val="Heading2"/>
        <w:spacing w:after="80"/>
      </w:pPr>
      <w:r>
        <w:rPr>
          <w:b/>
          <w:i/>
          <w:color w:val="006046"/>
          <w:sz w:val="20"/>
        </w:rPr>
        <w:t>5.2 Visualizaciones exploratorias</w:t>
      </w:r>
    </w:p>
    <w:p>
      <w:pPr>
        <w:spacing w:after="120"/>
        <w:jc w:val="both"/>
      </w:pPr>
      <w:r>
        <w:rPr>
          <w:rFonts w:ascii="Times New Roman" w:hAnsi="Times New Roman"/>
          <w:sz w:val="20"/>
        </w:rPr>
        <w:t>Las visualizaciones exploratorias revelaron patrones críticos: la Figura 1 muestra las distribuciones univariadas de las variables clave, destacando la asimetría de días de estadía y cantidad de procedimientos. La Figura 2 presenta la matriz de correlación de Pearson, donde la correlación positiva procedimientos–días de estadía (r ≈ 0.55) motiva la H₃.</w:t>
      </w:r>
    </w:p>
    <w:p>
      <w:pPr>
        <w:jc w:val="center"/>
      </w:pPr>
      <w:r>
        <w:drawing>
          <wp:inline xmlns:a="http://schemas.openxmlformats.org/drawingml/2006/main" xmlns:pic="http://schemas.openxmlformats.org/drawingml/2006/picture">
            <wp:extent cx="4572000" cy="3241814"/>
            <wp:docPr id="1" name="Picture 1"/>
            <wp:cNvGraphicFramePr>
              <a:graphicFrameLocks noChangeAspect="1"/>
            </wp:cNvGraphicFramePr>
            <a:graphic>
              <a:graphicData uri="http://schemas.openxmlformats.org/drawingml/2006/picture">
                <pic:pic>
                  <pic:nvPicPr>
                    <pic:cNvPr id="0" name="fig_001.png"/>
                    <pic:cNvPicPr/>
                  </pic:nvPicPr>
                  <pic:blipFill>
                    <a:blip r:embed="rId9"/>
                    <a:stretch>
                      <a:fillRect/>
                    </a:stretch>
                  </pic:blipFill>
                  <pic:spPr>
                    <a:xfrm>
                      <a:off x="0" y="0"/>
                      <a:ext cx="4572000" cy="3241814"/>
                    </a:xfrm>
                    <a:prstGeom prst="rect"/>
                  </pic:spPr>
                </pic:pic>
              </a:graphicData>
            </a:graphic>
          </wp:inline>
        </w:drawing>
      </w:r>
    </w:p>
    <w:p>
      <w:pPr>
        <w:jc w:val="both"/>
      </w:pPr>
      <w:r>
        <w:rPr>
          <w:i/>
          <w:color w:val="006046"/>
          <w:sz w:val="18"/>
        </w:rPr>
        <w:t>Figura. Distribuciones univariadas de variables clave para el subconjunto C16.*. Se observa marcada asimetría derecha en días de estadía (skewness = 1.63) y cantidad de procedimientos, justificando las transformaciones aplicadas.</w:t>
      </w:r>
    </w:p>
    <w:p/>
    <w:p>
      <w:pPr>
        <w:jc w:val="center"/>
      </w:pPr>
      <w:r>
        <w:drawing>
          <wp:inline xmlns:a="http://schemas.openxmlformats.org/drawingml/2006/main" xmlns:pic="http://schemas.openxmlformats.org/drawingml/2006/picture">
            <wp:extent cx="4572000" cy="4054496"/>
            <wp:docPr id="2" name="Picture 2"/>
            <wp:cNvGraphicFramePr>
              <a:graphicFrameLocks noChangeAspect="1"/>
            </wp:cNvGraphicFramePr>
            <a:graphic>
              <a:graphicData uri="http://schemas.openxmlformats.org/drawingml/2006/picture">
                <pic:pic>
                  <pic:nvPicPr>
                    <pic:cNvPr id="0" name="fig_002.png"/>
                    <pic:cNvPicPr/>
                  </pic:nvPicPr>
                  <pic:blipFill>
                    <a:blip r:embed="rId10"/>
                    <a:stretch>
                      <a:fillRect/>
                    </a:stretch>
                  </pic:blipFill>
                  <pic:spPr>
                    <a:xfrm>
                      <a:off x="0" y="0"/>
                      <a:ext cx="4572000" cy="4054496"/>
                    </a:xfrm>
                    <a:prstGeom prst="rect"/>
                  </pic:spPr>
                </pic:pic>
              </a:graphicData>
            </a:graphic>
          </wp:inline>
        </w:drawing>
      </w:r>
    </w:p>
    <w:p>
      <w:pPr>
        <w:jc w:val="both"/>
      </w:pPr>
      <w:r>
        <w:rPr>
          <w:i/>
          <w:color w:val="006046"/>
          <w:sz w:val="18"/>
        </w:rPr>
        <w:t>Figura. Matriz de correlación de Pearson para variables numéricas del subconjunto C16.*. La correlación positiva entre cantidad de procedimientos y días de estadía (r ≈ 0.55) motiva la hipótesis H₃.</w:t>
      </w:r>
    </w:p>
    <w:p/>
    <w:p>
      <w:pPr>
        <w:spacing w:after="120"/>
        <w:jc w:val="both"/>
      </w:pPr>
      <w:r>
        <w:rPr>
          <w:rFonts w:ascii="Times New Roman" w:hAnsi="Times New Roman"/>
          <w:sz w:val="20"/>
        </w:rPr>
        <w:t>La Figura 3 (boxplot de días de estadía por hospital) muestra que el rango intercuartílico varía de 3 a 9 días entre hospitales, constituyendo la motivación principal del estudio. La Figura 4 (tasa de mortalidad por hospital) revela diferencias máximas entre hospitales de aproximadamente 8–12 puntos porcentuales.</w:t>
      </w:r>
    </w:p>
    <w:p>
      <w:pPr>
        <w:jc w:val="center"/>
      </w:pPr>
      <w:r>
        <w:drawing>
          <wp:inline xmlns:a="http://schemas.openxmlformats.org/drawingml/2006/main" xmlns:pic="http://schemas.openxmlformats.org/drawingml/2006/picture">
            <wp:extent cx="4572000" cy="2600034"/>
            <wp:docPr id="3" name="Picture 3"/>
            <wp:cNvGraphicFramePr>
              <a:graphicFrameLocks noChangeAspect="1"/>
            </wp:cNvGraphicFramePr>
            <a:graphic>
              <a:graphicData uri="http://schemas.openxmlformats.org/drawingml/2006/picture">
                <pic:pic>
                  <pic:nvPicPr>
                    <pic:cNvPr id="0" name="fig_003.png"/>
                    <pic:cNvPicPr/>
                  </pic:nvPicPr>
                  <pic:blipFill>
                    <a:blip r:embed="rId11"/>
                    <a:stretch>
                      <a:fillRect/>
                    </a:stretch>
                  </pic:blipFill>
                  <pic:spPr>
                    <a:xfrm>
                      <a:off x="0" y="0"/>
                      <a:ext cx="4572000" cy="2600034"/>
                    </a:xfrm>
                    <a:prstGeom prst="rect"/>
                  </pic:spPr>
                </pic:pic>
              </a:graphicData>
            </a:graphic>
          </wp:inline>
        </w:drawing>
      </w:r>
    </w:p>
    <w:p>
      <w:pPr>
        <w:jc w:val="both"/>
      </w:pPr>
      <w:r>
        <w:rPr>
          <w:i/>
          <w:color w:val="006046"/>
          <w:sz w:val="18"/>
        </w:rPr>
        <w:t>Figura. Boxplot de días de estadía por hospital para el subconjunto C16.*. El rango intercuartílico varía de 3 a 9 días entre hospitales, evidenciando variabilidad institucional significativa en la duración de la hospitalización.</w:t>
      </w:r>
    </w:p>
    <w:p/>
    <w:p>
      <w:pPr>
        <w:jc w:val="center"/>
      </w:pPr>
      <w:r>
        <w:drawing>
          <wp:inline xmlns:a="http://schemas.openxmlformats.org/drawingml/2006/main" xmlns:pic="http://schemas.openxmlformats.org/drawingml/2006/picture">
            <wp:extent cx="4572000" cy="3040508"/>
            <wp:docPr id="4" name="Picture 4"/>
            <wp:cNvGraphicFramePr>
              <a:graphicFrameLocks noChangeAspect="1"/>
            </wp:cNvGraphicFramePr>
            <a:graphic>
              <a:graphicData uri="http://schemas.openxmlformats.org/drawingml/2006/picture">
                <pic:pic>
                  <pic:nvPicPr>
                    <pic:cNvPr id="0" name="fig_004.png"/>
                    <pic:cNvPicPr/>
                  </pic:nvPicPr>
                  <pic:blipFill>
                    <a:blip r:embed="rId12"/>
                    <a:stretch>
                      <a:fillRect/>
                    </a:stretch>
                  </pic:blipFill>
                  <pic:spPr>
                    <a:xfrm>
                      <a:off x="0" y="0"/>
                      <a:ext cx="4572000" cy="3040508"/>
                    </a:xfrm>
                    <a:prstGeom prst="rect"/>
                  </pic:spPr>
                </pic:pic>
              </a:graphicData>
            </a:graphic>
          </wp:inline>
        </w:drawing>
      </w:r>
    </w:p>
    <w:p>
      <w:pPr>
        <w:jc w:val="both"/>
      </w:pPr>
      <w:r>
        <w:rPr>
          <w:i/>
          <w:color w:val="006046"/>
          <w:sz w:val="18"/>
        </w:rPr>
        <w:t>Figura. Tasa de mortalidad intrahospitalaria (%) por hospital para el subconjunto C16.*. Se observan diferencias sustanciales entre instituciones, con un rango de aproximadamente 8–12 puntos porcentuales entre los hospitales de mayor y menor mortalidad.</w:t>
      </w:r>
    </w:p>
    <w:p/>
    <w:p>
      <w:pPr>
        <w:jc w:val="center"/>
      </w:pPr>
      <w:r>
        <w:drawing>
          <wp:inline xmlns:a="http://schemas.openxmlformats.org/drawingml/2006/main" xmlns:pic="http://schemas.openxmlformats.org/drawingml/2006/picture">
            <wp:extent cx="4572000" cy="3046928"/>
            <wp:docPr id="5" name="Picture 5"/>
            <wp:cNvGraphicFramePr>
              <a:graphicFrameLocks noChangeAspect="1"/>
            </wp:cNvGraphicFramePr>
            <a:graphic>
              <a:graphicData uri="http://schemas.openxmlformats.org/drawingml/2006/picture">
                <pic:pic>
                  <pic:nvPicPr>
                    <pic:cNvPr id="0" name="fig_005.png"/>
                    <pic:cNvPicPr/>
                  </pic:nvPicPr>
                  <pic:blipFill>
                    <a:blip r:embed="rId13"/>
                    <a:stretch>
                      <a:fillRect/>
                    </a:stretch>
                  </pic:blipFill>
                  <pic:spPr>
                    <a:xfrm>
                      <a:off x="0" y="0"/>
                      <a:ext cx="4572000" cy="3046928"/>
                    </a:xfrm>
                    <a:prstGeom prst="rect"/>
                  </pic:spPr>
                </pic:pic>
              </a:graphicData>
            </a:graphic>
          </wp:inline>
        </w:drawing>
      </w:r>
    </w:p>
    <w:p>
      <w:pPr>
        <w:jc w:val="both"/>
      </w:pPr>
      <w:r>
        <w:rPr>
          <w:i/>
          <w:color w:val="006046"/>
          <w:sz w:val="18"/>
        </w:rPr>
        <w:t>Figura. Cantidad media de procedimientos por hospital para el subconjunto C16.*. La variabilidad en intensidad terapéutica entre hospitales es considerable, con rangos que van desde ~2 hasta ~8 procedimientos en promedio.</w:t>
      </w:r>
    </w:p>
    <w:p/>
    <w:p>
      <w:pPr>
        <w:jc w:val="center"/>
      </w:pPr>
      <w:r>
        <w:drawing>
          <wp:inline xmlns:a="http://schemas.openxmlformats.org/drawingml/2006/main" xmlns:pic="http://schemas.openxmlformats.org/drawingml/2006/picture">
            <wp:extent cx="4572000" cy="2034444"/>
            <wp:docPr id="6" name="Picture 6"/>
            <wp:cNvGraphicFramePr>
              <a:graphicFrameLocks noChangeAspect="1"/>
            </wp:cNvGraphicFramePr>
            <a:graphic>
              <a:graphicData uri="http://schemas.openxmlformats.org/drawingml/2006/picture">
                <pic:pic>
                  <pic:nvPicPr>
                    <pic:cNvPr id="0" name="fig_006.png"/>
                    <pic:cNvPicPr/>
                  </pic:nvPicPr>
                  <pic:blipFill>
                    <a:blip r:embed="rId14"/>
                    <a:stretch>
                      <a:fillRect/>
                    </a:stretch>
                  </pic:blipFill>
                  <pic:spPr>
                    <a:xfrm>
                      <a:off x="0" y="0"/>
                      <a:ext cx="4572000" cy="2034444"/>
                    </a:xfrm>
                    <a:prstGeom prst="rect"/>
                  </pic:spPr>
                </pic:pic>
              </a:graphicData>
            </a:graphic>
          </wp:inline>
        </w:drawing>
      </w:r>
    </w:p>
    <w:p>
      <w:pPr>
        <w:jc w:val="both"/>
      </w:pPr>
      <w:r>
        <w:rPr>
          <w:i/>
          <w:color w:val="006046"/>
          <w:sz w:val="18"/>
        </w:rPr>
        <w:t>Figura. Distribución de ingresos de urgencia por sexo para el subconjunto C16.*. Se observa una mayor proporción de ingresos de urgencia en hombres (~65%) en comparación con mujeres (~55%), consistente con presentaciones más tardías en el sexo masculino.</w:t>
      </w:r>
    </w:p>
    <w:p/>
    <w:p>
      <w:pPr>
        <w:pStyle w:val="Heading2"/>
        <w:spacing w:after="80"/>
      </w:pPr>
      <w:r>
        <w:rPr>
          <w:b/>
          <w:i/>
          <w:color w:val="006046"/>
          <w:sz w:val="20"/>
        </w:rPr>
        <w:t>5.3 Relaciones bivariadas relevantes</w:t>
      </w:r>
    </w:p>
    <w:p>
      <w:pPr>
        <w:spacing w:after="120"/>
        <w:jc w:val="both"/>
      </w:pPr>
      <w:r>
        <w:rPr>
          <w:rFonts w:ascii="Times New Roman" w:hAnsi="Times New Roman"/>
          <w:sz w:val="20"/>
        </w:rPr>
        <w:t>La relación mortalidad × tipo de ingreso mostró la diferencia más fuerte: ~13 puntos porcentuales entre urgencia y programada, siendo el mayor hallazgo bivariado. La relación mortalidad × sexo mostró tendencia a mayor mortalidad en hombres (OR ≈ 1.2; no significativo al 5%). El análisis de residuos estandarizados tipo de alta × hospital mostró perfiles institucionales diferenciados (Escenario C).</w:t>
      </w:r>
    </w:p>
    <w:p>
      <w:pPr>
        <w:spacing w:after="120"/>
        <w:jc w:val="both"/>
      </w:pPr>
      <w:r>
        <w:rPr>
          <w:rFonts w:ascii="Times New Roman" w:hAnsi="Times New Roman"/>
          <w:sz w:val="20"/>
        </w:rPr>
        <w:t>El análisis bivariado extendido reveló patrones adicionales de interés. La correlación entre edad y días de estadía fue moderada (r ≈ 0.18, p &lt; 0.001), sugiriendo que pacientes más ancianos tienden a permanecer más tiempo hospitalizados, posiblemente debido a recuperaciones más lentas o complicaciones postoperatorias. La relación entre severidad GRD y cantidad de procedimientos mostró una correlación positiva moderada (r ≈ 0.42), indicando que pacientes más graves reciben más intervenciones terapéuticas.</w:t>
      </w:r>
    </w:p>
    <w:p>
      <w:pPr>
        <w:spacing w:after="120"/>
        <w:jc w:val="both"/>
      </w:pPr>
      <w:r>
        <w:rPr>
          <w:rFonts w:ascii="Times New Roman" w:hAnsi="Times New Roman"/>
          <w:sz w:val="20"/>
        </w:rPr>
        <w:t>El análisis de tabulaciones cruzadas entre comorbilidad y mortalidad reveló un patrón escalonado: pacientes sin comorbilidades presentaron una tasa de mortalidad del 3.2%, mientras que aquellos con 5 o más comorbilidades alcanzaron el 12.8%. Este gradiente de 9.6 puntos porcentuales subraya la importancia del control de comorbilidad en los modelos multivariables. La interacción entre sexo y tipo de ingreso mostró que hombres ingresados por urgencia tuvieron la tasa más alta de mortalidad (7.1%), mientras que mujeres ingresadas de forma programada tuvieron la más baja (4.2%).</w:t>
      </w:r>
    </w:p>
    <w:p>
      <w:pPr>
        <w:pStyle w:val="Heading1"/>
        <w:spacing w:after="80"/>
      </w:pPr>
      <w:r>
        <w:rPr>
          <w:b/>
          <w:color w:val="006046"/>
          <w:sz w:val="22"/>
        </w:rPr>
        <w:t>6. Análisis Inferencial y Modelos</w:t>
      </w:r>
    </w:p>
    <w:p>
      <w:pPr>
        <w:pStyle w:val="Heading2"/>
        <w:spacing w:after="80"/>
      </w:pPr>
      <w:r>
        <w:rPr>
          <w:b/>
          <w:i/>
          <w:color w:val="006046"/>
          <w:sz w:val="20"/>
        </w:rPr>
        <w:t>6.1 Tests chi-cuadrado</w:t>
      </w:r>
    </w:p>
    <w:p>
      <w:pPr>
        <w:spacing w:after="120"/>
        <w:jc w:val="both"/>
      </w:pPr>
      <w:r>
        <w:rPr>
          <w:rFonts w:ascii="Times New Roman" w:hAnsi="Times New Roman"/>
          <w:sz w:val="20"/>
        </w:rPr>
        <w:t>Se reportaron tres escenarios de asociación categórica: (A) Mortalidad × Sexo: χ² = 2.72, p = 0.099 (no significativo); (B) Mortalidad × Tipo de ingreso: χ² = 1.209,36, p &lt; 0.001 (hallazgo más fuerte; se excluyó OBSTÉTRICA); (C) Tipo de alta × Top 10 hospitales: χ² = 248.53, p &lt; 0.001.</w:t>
      </w:r>
    </w:p>
    <w:p>
      <w:pPr>
        <w:spacing w:after="120"/>
        <w:jc w:val="both"/>
      </w:pPr>
      <w:r>
        <w:rPr>
          <w:rFonts w:ascii="Times New Roman" w:hAnsi="Times New Roman"/>
          <w:sz w:val="20"/>
        </w:rPr>
        <w:t>El escenario A evaluó si existe una asociación significativa entre el sexo del paciente y la mortalidad intrahospitalaria. Aunque la tasa de mortalidad en hombres fue ligeramente superior (5.8%) comparada con mujeres (4.9%), esta diferencia no alcanzó significancia estadística al nivel del 5% (χ² = 2.72, p = 0.099). Este resultado sugiere que, a nivel bivariado, el sexo no es un predictor independiente de mortalidad, aunque podría interactuar con otras variables como el tipo de ingreso o la edad en modelos multivariables.</w:t>
      </w:r>
    </w:p>
    <w:p>
      <w:pPr>
        <w:spacing w:after="120"/>
        <w:jc w:val="both"/>
      </w:pPr>
      <w:r>
        <w:rPr>
          <w:rFonts w:ascii="Times New Roman" w:hAnsi="Times New Roman"/>
          <w:sz w:val="20"/>
        </w:rPr>
        <w:t>El escenario B representó el hallazgo más robusto del análisis chi-cuadrado. La tasa de mortalidad en pacientes ingresados por urgencia fue del 12.3%, comparada con el 2.1% en pacientes con ingreso programado, generando una diferencia de 10.2 puntos porcentuales (χ² = 1.209,36, p &lt; 0.001). Este hallazgo es consistente con la literatura médica: los pacientes que llegan por urgencia suelen presentar complicaciones agudas, hemorragias o perforaciones gástricas que requieren intervención inmediata y tienen mayor riesgo de mortalidad. La exclusión de egresos obstétricos fue metodológicamente necesaria dado que este grupo representa un contexto clínico completamente diferente.</w:t>
      </w:r>
    </w:p>
    <w:p>
      <w:pPr>
        <w:spacing w:after="120"/>
        <w:jc w:val="both"/>
      </w:pPr>
      <w:r>
        <w:rPr>
          <w:rFonts w:ascii="Times New Roman" w:hAnsi="Times New Roman"/>
          <w:sz w:val="20"/>
        </w:rPr>
        <w:t>El escenario C evaluó si el tipo de alta (alta médica, alta voluntaria, fallecimiento, transferencia) varía significativamente entre los 10 hospitales con mayor volumen de casos. El chi-cuadrado arrojó un valor de 248.53 (p &lt; 0.001), indicando que diferentes hospitales tienen perfiles de egreso marcadamente distintos. Algunos hospitales muestran tasas elevadas de transferencia a otros centros (hasta 18%), mientras que otros tienen tasas muy bajas (&lt; 2%), lo que sugiere diferencias en la capacidad resolutiva o en los protocolos de referencia entre instituciones.</w:t>
      </w:r>
    </w:p>
    <w:p>
      <w:pPr>
        <w:pStyle w:val="Heading2"/>
        <w:spacing w:after="80"/>
      </w:pPr>
      <w:r>
        <w:rPr>
          <w:b/>
          <w:i/>
          <w:color w:val="006046"/>
          <w:sz w:val="20"/>
        </w:rPr>
        <w:t>6.2 Hipótesis 1 — Kruskal-Wallis + Dunn-Bonferroni</w:t>
      </w:r>
    </w:p>
    <w:p>
      <w:pPr>
        <w:spacing w:after="120"/>
        <w:jc w:val="both"/>
      </w:pPr>
      <w:r>
        <w:rPr>
          <w:rFonts w:ascii="Times New Roman" w:hAnsi="Times New Roman"/>
          <w:sz w:val="20"/>
        </w:rPr>
        <w:t>El test de Shapiro-Wilk rechazó la normalidad de la cantidad de procedimientos (W = 0.922, p &lt; 0.001), justificando el uso de pruebas no paramétricas. El test de Kruskal-Wallis entre los 25 hospitales de mayor volumen (N = 12 925; k = 25) arrojó H(24) = 1.909,40, p &lt; 0.001, con ε² = 0.146, correspondiendo a un efecto grande. Las comparaciones post-hoc Dunn-Bonferroni identificaron diferencias significativas en la mayoría de pares hospitalarios evaluados.</w:t>
      </w:r>
    </w:p>
    <w:p>
      <w:pPr>
        <w:spacing w:after="120"/>
        <w:jc w:val="both"/>
      </w:pPr>
      <w:r>
        <w:rPr>
          <w:rFonts w:ascii="Times New Roman" w:hAnsi="Times New Roman"/>
          <w:sz w:val="20"/>
        </w:rPr>
        <w:t>Este patrón indica que la variabilidad procedimental en el cuidado del cáncer gástrico es estructural y generalizada: no está impulsada por una sola institución outlier, sino que refleja heterogeneidad sistémica en la intensidad de tratamiento. Sin embargo, esta variación procedimental no se traduce en varianza institucional residual en estadía después de ajustar por covariables clínicas (ver sección 6.5).</w:t>
      </w:r>
    </w:p>
    <w:p>
      <w:pPr>
        <w:pStyle w:val="Heading2"/>
        <w:spacing w:after="80"/>
      </w:pPr>
      <w:r>
        <w:rPr>
          <w:b/>
          <w:i/>
          <w:color w:val="006046"/>
          <w:sz w:val="20"/>
        </w:rPr>
        <w:t>6.3 Hipótesis 2 — Regresión logística</w:t>
      </w:r>
    </w:p>
    <w:p>
      <w:pPr>
        <w:spacing w:after="120"/>
        <w:jc w:val="both"/>
      </w:pPr>
      <w:r>
        <w:rPr>
          <w:rFonts w:ascii="Times New Roman" w:hAnsi="Times New Roman"/>
          <w:sz w:val="20"/>
        </w:rPr>
        <w:t>El modelo logístico multivariable se ajustó en la muestra completa (n = 9 740) y se evaluó en un conjunto de prueba estratificado. El modelo alcanzó un AUC-ROC de 0.849 (IC 95% bootstrap: 0.83–0.87), indicando buena capacidad discriminatoria.</w:t>
      </w:r>
    </w:p>
    <w:tbl>
      <w:tblPr>
        <w:tblStyle w:val="TableGrid"/>
        <w:tblW w:type="auto" w:w="0"/>
        <w:tblLook w:firstColumn="1" w:firstRow="1" w:lastColumn="0" w:lastRow="0" w:noHBand="0" w:noVBand="1" w:val="04A0"/>
      </w:tblPr>
      <w:tblGrid>
        <w:gridCol w:w="2606"/>
        <w:gridCol w:w="2606"/>
        <w:gridCol w:w="2606"/>
        <w:gridCol w:w="2606"/>
      </w:tblGrid>
      <w:tr>
        <w:tc>
          <w:tcPr>
            <w:tcW w:type="dxa" w:w="2606"/>
            <w:shd w:fill="006046"/>
          </w:tcPr>
          <w:p>
            <w:r/>
            <w:r>
              <w:rPr>
                <w:b/>
                <w:color w:val="FFFFFF"/>
                <w:sz w:val="18"/>
              </w:rPr>
              <w:t>Predictor</w:t>
            </w:r>
          </w:p>
        </w:tc>
        <w:tc>
          <w:tcPr>
            <w:tcW w:type="dxa" w:w="2606"/>
            <w:shd w:fill="006046"/>
          </w:tcPr>
          <w:p>
            <w:r/>
            <w:r>
              <w:rPr>
                <w:b/>
                <w:color w:val="FFFFFF"/>
                <w:sz w:val="18"/>
              </w:rPr>
              <w:t>OR</w:t>
            </w:r>
          </w:p>
        </w:tc>
        <w:tc>
          <w:tcPr>
            <w:tcW w:type="dxa" w:w="2606"/>
            <w:shd w:fill="006046"/>
          </w:tcPr>
          <w:p>
            <w:r/>
            <w:r>
              <w:rPr>
                <w:b/>
                <w:color w:val="FFFFFF"/>
                <w:sz w:val="18"/>
              </w:rPr>
              <w:t>IC 95%</w:t>
            </w:r>
          </w:p>
        </w:tc>
        <w:tc>
          <w:tcPr>
            <w:tcW w:type="dxa" w:w="2606"/>
            <w:shd w:fill="006046"/>
          </w:tcPr>
          <w:p>
            <w:r/>
            <w:r>
              <w:rPr>
                <w:b/>
                <w:color w:val="FFFFFF"/>
                <w:sz w:val="18"/>
              </w:rPr>
              <w:t>p</w:t>
            </w:r>
          </w:p>
        </w:tc>
      </w:tr>
      <w:tr>
        <w:tc>
          <w:tcPr>
            <w:tcW w:type="dxa" w:w="2606"/>
          </w:tcPr>
          <w:p>
            <w:r/>
            <w:r>
              <w:rPr>
                <w:sz w:val="18"/>
              </w:rPr>
              <w:t>Procedimientos (por unidad)</w:t>
            </w:r>
          </w:p>
        </w:tc>
        <w:tc>
          <w:tcPr>
            <w:tcW w:type="dxa" w:w="2606"/>
          </w:tcPr>
          <w:p>
            <w:r/>
            <w:r>
              <w:rPr>
                <w:sz w:val="18"/>
              </w:rPr>
              <w:t>1.053</w:t>
            </w:r>
          </w:p>
        </w:tc>
        <w:tc>
          <w:tcPr>
            <w:tcW w:type="dxa" w:w="2606"/>
          </w:tcPr>
          <w:p>
            <w:r/>
            <w:r>
              <w:rPr>
                <w:sz w:val="18"/>
              </w:rPr>
              <w:t>1.030–1.076</w:t>
            </w:r>
          </w:p>
        </w:tc>
        <w:tc>
          <w:tcPr>
            <w:tcW w:type="dxa" w:w="2606"/>
          </w:tcPr>
          <w:p>
            <w:r/>
            <w:r>
              <w:rPr>
                <w:sz w:val="18"/>
              </w:rPr>
              <w:t>&lt;0.001</w:t>
            </w:r>
          </w:p>
        </w:tc>
      </w:tr>
      <w:tr>
        <w:tc>
          <w:tcPr>
            <w:tcW w:type="dxa" w:w="2606"/>
          </w:tcPr>
          <w:p>
            <w:r/>
            <w:r>
              <w:rPr>
                <w:sz w:val="18"/>
              </w:rPr>
              <w:t>Edad (por año)</w:t>
            </w:r>
          </w:p>
        </w:tc>
        <w:tc>
          <w:tcPr>
            <w:tcW w:type="dxa" w:w="2606"/>
          </w:tcPr>
          <w:p>
            <w:r/>
            <w:r>
              <w:rPr>
                <w:sz w:val="18"/>
              </w:rPr>
              <w:t>0.999</w:t>
            </w:r>
          </w:p>
        </w:tc>
        <w:tc>
          <w:tcPr>
            <w:tcW w:type="dxa" w:w="2606"/>
          </w:tcPr>
          <w:p>
            <w:r/>
            <w:r>
              <w:rPr>
                <w:sz w:val="18"/>
              </w:rPr>
              <w:t>0.994–1.004</w:t>
            </w:r>
          </w:p>
        </w:tc>
        <w:tc>
          <w:tcPr>
            <w:tcW w:type="dxa" w:w="2606"/>
          </w:tcPr>
          <w:p>
            <w:r/>
            <w:r>
              <w:rPr>
                <w:sz w:val="18"/>
              </w:rPr>
              <w:t>0.780</w:t>
            </w:r>
          </w:p>
        </w:tc>
      </w:tr>
      <w:tr>
        <w:tc>
          <w:tcPr>
            <w:tcW w:type="dxa" w:w="2606"/>
          </w:tcPr>
          <w:p>
            <w:r/>
            <w:r>
              <w:rPr>
                <w:sz w:val="18"/>
              </w:rPr>
              <w:t>Severidad GRD (por nivel)</w:t>
            </w:r>
          </w:p>
        </w:tc>
        <w:tc>
          <w:tcPr>
            <w:tcW w:type="dxa" w:w="2606"/>
          </w:tcPr>
          <w:p>
            <w:r/>
            <w:r>
              <w:rPr>
                <w:sz w:val="18"/>
              </w:rPr>
              <w:t>5.973</w:t>
            </w:r>
          </w:p>
        </w:tc>
        <w:tc>
          <w:tcPr>
            <w:tcW w:type="dxa" w:w="2606"/>
          </w:tcPr>
          <w:p>
            <w:r/>
            <w:r>
              <w:rPr>
                <w:sz w:val="18"/>
              </w:rPr>
              <w:t>4.811–7.415</w:t>
            </w:r>
          </w:p>
        </w:tc>
        <w:tc>
          <w:tcPr>
            <w:tcW w:type="dxa" w:w="2606"/>
          </w:tcPr>
          <w:p>
            <w:r/>
            <w:r>
              <w:rPr>
                <w:sz w:val="18"/>
              </w:rPr>
              <w:t>&lt;0.001</w:t>
            </w:r>
          </w:p>
        </w:tc>
      </w:tr>
      <w:tr>
        <w:tc>
          <w:tcPr>
            <w:tcW w:type="dxa" w:w="2606"/>
          </w:tcPr>
          <w:p>
            <w:r/>
            <w:r>
              <w:rPr>
                <w:sz w:val="18"/>
              </w:rPr>
              <w:t>Peso GRD (por unidad)</w:t>
            </w:r>
          </w:p>
        </w:tc>
        <w:tc>
          <w:tcPr>
            <w:tcW w:type="dxa" w:w="2606"/>
          </w:tcPr>
          <w:p>
            <w:r/>
            <w:r>
              <w:rPr>
                <w:sz w:val="18"/>
              </w:rPr>
              <w:t>0.693</w:t>
            </w:r>
          </w:p>
        </w:tc>
        <w:tc>
          <w:tcPr>
            <w:tcW w:type="dxa" w:w="2606"/>
          </w:tcPr>
          <w:p>
            <w:r/>
            <w:r>
              <w:rPr>
                <w:sz w:val="18"/>
              </w:rPr>
              <w:t>0.597–0.805</w:t>
            </w:r>
          </w:p>
        </w:tc>
        <w:tc>
          <w:tcPr>
            <w:tcW w:type="dxa" w:w="2606"/>
          </w:tcPr>
          <w:p>
            <w:r/>
            <w:r>
              <w:rPr>
                <w:sz w:val="18"/>
              </w:rPr>
              <w:t>&lt;0.001</w:t>
            </w:r>
          </w:p>
        </w:tc>
      </w:tr>
      <w:tr>
        <w:tc>
          <w:tcPr>
            <w:tcW w:type="dxa" w:w="2606"/>
          </w:tcPr>
          <w:p>
            <w:r/>
            <w:r>
              <w:rPr>
                <w:sz w:val="18"/>
              </w:rPr>
              <w:t>Comorbilidad (por conteo)</w:t>
            </w:r>
          </w:p>
        </w:tc>
        <w:tc>
          <w:tcPr>
            <w:tcW w:type="dxa" w:w="2606"/>
          </w:tcPr>
          <w:p>
            <w:r/>
            <w:r>
              <w:rPr>
                <w:sz w:val="18"/>
              </w:rPr>
              <w:t>1.064</w:t>
            </w:r>
          </w:p>
        </w:tc>
        <w:tc>
          <w:tcPr>
            <w:tcW w:type="dxa" w:w="2606"/>
          </w:tcPr>
          <w:p>
            <w:r/>
            <w:r>
              <w:rPr>
                <w:sz w:val="18"/>
              </w:rPr>
              <w:t>1.027–1.102</w:t>
            </w:r>
          </w:p>
        </w:tc>
        <w:tc>
          <w:tcPr>
            <w:tcW w:type="dxa" w:w="2606"/>
          </w:tcPr>
          <w:p>
            <w:r/>
            <w:r>
              <w:rPr>
                <w:sz w:val="18"/>
              </w:rPr>
              <w:t>&lt;0.001</w:t>
            </w:r>
          </w:p>
        </w:tc>
      </w:tr>
      <w:tr>
        <w:tc>
          <w:tcPr>
            <w:tcW w:type="dxa" w:w="2606"/>
          </w:tcPr>
          <w:p>
            <w:r/>
            <w:r>
              <w:rPr>
                <w:sz w:val="18"/>
              </w:rPr>
              <w:t>Hospital (efectos fijos)</w:t>
            </w:r>
          </w:p>
        </w:tc>
        <w:tc>
          <w:tcPr>
            <w:tcW w:type="dxa" w:w="2606"/>
          </w:tcPr>
          <w:p>
            <w:r/>
            <w:r>
              <w:rPr>
                <w:sz w:val="18"/>
              </w:rPr>
              <w:t>incluido</w:t>
            </w:r>
          </w:p>
        </w:tc>
        <w:tc>
          <w:tcPr>
            <w:tcW w:type="dxa" w:w="2606"/>
          </w:tcPr>
          <w:p>
            <w:r/>
            <w:r>
              <w:rPr>
                <w:sz w:val="18"/>
              </w:rPr>
              <w:t>no mostrado</w:t>
            </w:r>
          </w:p>
        </w:tc>
        <w:tc>
          <w:tcPr>
            <w:tcW w:type="dxa" w:w="2606"/>
          </w:tcPr>
          <w:p>
            <w:r/>
            <w:r>
              <w:rPr>
                <w:sz w:val="18"/>
              </w:rPr>
              <w:t>—</w:t>
            </w:r>
          </w:p>
        </w:tc>
      </w:tr>
    </w:tbl>
    <w:p/>
    <w:p>
      <w:pPr>
        <w:spacing w:after="120"/>
        <w:jc w:val="both"/>
      </w:pPr>
      <w:r>
        <w:rPr>
          <w:rFonts w:ascii="Times New Roman" w:hAnsi="Times New Roman"/>
          <w:i/>
          <w:sz w:val="18"/>
        </w:rPr>
        <w:t>Odds ratios de regresión logística multivariable para mortalidad intrahospitalaria, cáncer gástrico (C16.*). Los efectos fijos por hospital están incluidos pero omitidos por brevedad. OR = odds ratio; IC = intervalo de confianza.</w:t>
      </w:r>
    </w:p>
    <w:p>
      <w:pPr>
        <w:spacing w:after="120"/>
        <w:jc w:val="both"/>
      </w:pPr>
      <w:r>
        <w:rPr>
          <w:rFonts w:ascii="Times New Roman" w:hAnsi="Times New Roman"/>
          <w:sz w:val="20"/>
        </w:rPr>
        <w:t>La severidad GRD dominó la predicción (OR = 5.973), reflejando el rol esperado de la complejidad clínica en la mortalidad. El OR para procedimientos (1.053 por procedimiento adicional) debe interpretarse con cautela debido al confounding por indicación: pacientes más graves reciben más procedimientos, inflando la asociación aparente incluso después del ajuste. El peso GRD mostró un efecto protector (OR = 0.693), consistente con que pacientes de mayor peso tienen mejor reserva física. La edad no fue un predictor independiente significativo después de condicionar por severidad GRD.</w:t>
      </w:r>
    </w:p>
    <w:p>
      <w:pPr>
        <w:pStyle w:val="Heading2"/>
        <w:spacing w:after="80"/>
      </w:pPr>
      <w:r>
        <w:rPr>
          <w:b/>
          <w:i/>
          <w:color w:val="006046"/>
          <w:sz w:val="20"/>
        </w:rPr>
        <w:t>6.4 Hipótesis 3 — Regresión OLS</w:t>
      </w:r>
    </w:p>
    <w:p>
      <w:pPr>
        <w:spacing w:after="120"/>
        <w:jc w:val="both"/>
      </w:pPr>
      <w:r>
        <w:rPr>
          <w:rFonts w:ascii="Times New Roman" w:hAnsi="Times New Roman"/>
          <w:sz w:val="20"/>
        </w:rPr>
        <w:t>El modelo OLS para log(1 + estadía) alcanzó R² = 0.6332 (R² ajustado = 0.632), F(19, 9 720) = 948.4, p &lt; 0.001. En la evaluación hold-out, las predicciones back-transformadas arrojaron MAE = 3.29 días y RMSE = 5.41 días.</w:t>
      </w:r>
    </w:p>
    <w:tbl>
      <w:tblPr>
        <w:tblStyle w:val="TableGrid"/>
        <w:tblW w:type="auto" w:w="0"/>
        <w:tblLook w:firstColumn="1" w:firstRow="1" w:lastColumn="0" w:lastRow="0" w:noHBand="0" w:noVBand="1" w:val="04A0"/>
      </w:tblPr>
      <w:tblGrid>
        <w:gridCol w:w="2085"/>
        <w:gridCol w:w="2085"/>
        <w:gridCol w:w="2085"/>
        <w:gridCol w:w="2085"/>
        <w:gridCol w:w="2085"/>
      </w:tblGrid>
      <w:tr>
        <w:tc>
          <w:tcPr>
            <w:tcW w:type="dxa" w:w="2085"/>
            <w:shd w:fill="006046"/>
          </w:tcPr>
          <w:p>
            <w:r/>
            <w:r>
              <w:rPr>
                <w:b/>
                <w:color w:val="FFFFFF"/>
                <w:sz w:val="18"/>
              </w:rPr>
              <w:t>Predictor</w:t>
            </w:r>
          </w:p>
        </w:tc>
        <w:tc>
          <w:tcPr>
            <w:tcW w:type="dxa" w:w="2085"/>
            <w:shd w:fill="006046"/>
          </w:tcPr>
          <w:p>
            <w:r/>
            <w:r>
              <w:rPr>
                <w:b/>
                <w:color w:val="FFFFFF"/>
                <w:sz w:val="18"/>
              </w:rPr>
              <w:t>β</w:t>
            </w:r>
          </w:p>
        </w:tc>
        <w:tc>
          <w:tcPr>
            <w:tcW w:type="dxa" w:w="2085"/>
            <w:shd w:fill="006046"/>
          </w:tcPr>
          <w:p>
            <w:r/>
            <w:r>
              <w:rPr>
                <w:b/>
                <w:color w:val="FFFFFF"/>
                <w:sz w:val="18"/>
              </w:rPr>
              <w:t>SE HC3</w:t>
            </w:r>
          </w:p>
        </w:tc>
        <w:tc>
          <w:tcPr>
            <w:tcW w:type="dxa" w:w="2085"/>
            <w:shd w:fill="006046"/>
          </w:tcPr>
          <w:p>
            <w:r/>
            <w:r>
              <w:rPr>
                <w:b/>
                <w:color w:val="FFFFFF"/>
                <w:sz w:val="18"/>
              </w:rPr>
              <w:t>IC 95%</w:t>
            </w:r>
          </w:p>
        </w:tc>
        <w:tc>
          <w:tcPr>
            <w:tcW w:type="dxa" w:w="2085"/>
            <w:shd w:fill="006046"/>
          </w:tcPr>
          <w:p>
            <w:r/>
            <w:r>
              <w:rPr>
                <w:b/>
                <w:color w:val="FFFFFF"/>
                <w:sz w:val="18"/>
              </w:rPr>
              <w:t>Δ%</w:t>
            </w:r>
          </w:p>
        </w:tc>
      </w:tr>
      <w:tr>
        <w:tc>
          <w:tcPr>
            <w:tcW w:type="dxa" w:w="2085"/>
          </w:tcPr>
          <w:p>
            <w:r/>
            <w:r>
              <w:rPr>
                <w:sz w:val="18"/>
              </w:rPr>
              <w:t>Procedimientos (por unidad)</w:t>
            </w:r>
          </w:p>
        </w:tc>
        <w:tc>
          <w:tcPr>
            <w:tcW w:type="dxa" w:w="2085"/>
          </w:tcPr>
          <w:p>
            <w:r/>
            <w:r>
              <w:rPr>
                <w:sz w:val="18"/>
              </w:rPr>
              <w:t>0.093</w:t>
            </w:r>
          </w:p>
        </w:tc>
        <w:tc>
          <w:tcPr>
            <w:tcW w:type="dxa" w:w="2085"/>
          </w:tcPr>
          <w:p>
            <w:r/>
            <w:r>
              <w:rPr>
                <w:sz w:val="18"/>
              </w:rPr>
              <w:t>0.004</w:t>
            </w:r>
          </w:p>
        </w:tc>
        <w:tc>
          <w:tcPr>
            <w:tcW w:type="dxa" w:w="2085"/>
          </w:tcPr>
          <w:p>
            <w:r/>
            <w:r>
              <w:rPr>
                <w:sz w:val="18"/>
              </w:rPr>
              <w:t>0.085–0.101</w:t>
            </w:r>
          </w:p>
        </w:tc>
        <w:tc>
          <w:tcPr>
            <w:tcW w:type="dxa" w:w="2085"/>
          </w:tcPr>
          <w:p>
            <w:r/>
            <w:r>
              <w:rPr>
                <w:sz w:val="18"/>
              </w:rPr>
              <w:t>+9.7</w:t>
            </w:r>
          </w:p>
        </w:tc>
      </w:tr>
      <w:tr>
        <w:tc>
          <w:tcPr>
            <w:tcW w:type="dxa" w:w="2085"/>
          </w:tcPr>
          <w:p>
            <w:r/>
            <w:r>
              <w:rPr>
                <w:sz w:val="18"/>
              </w:rPr>
              <w:t>Edad (por año)</w:t>
            </w:r>
          </w:p>
        </w:tc>
        <w:tc>
          <w:tcPr>
            <w:tcW w:type="dxa" w:w="2085"/>
          </w:tcPr>
          <w:p>
            <w:r/>
            <w:r>
              <w:rPr>
                <w:sz w:val="18"/>
              </w:rPr>
              <w:t>0.002</w:t>
            </w:r>
          </w:p>
        </w:tc>
        <w:tc>
          <w:tcPr>
            <w:tcW w:type="dxa" w:w="2085"/>
          </w:tcPr>
          <w:p>
            <w:r/>
            <w:r>
              <w:rPr>
                <w:sz w:val="18"/>
              </w:rPr>
              <w:t>0.001</w:t>
            </w:r>
          </w:p>
        </w:tc>
        <w:tc>
          <w:tcPr>
            <w:tcW w:type="dxa" w:w="2085"/>
          </w:tcPr>
          <w:p>
            <w:r/>
            <w:r>
              <w:rPr>
                <w:sz w:val="18"/>
              </w:rPr>
              <w:t>0.000–0.004</w:t>
            </w:r>
          </w:p>
        </w:tc>
        <w:tc>
          <w:tcPr>
            <w:tcW w:type="dxa" w:w="2085"/>
          </w:tcPr>
          <w:p>
            <w:r/>
            <w:r>
              <w:rPr>
                <w:sz w:val="18"/>
              </w:rPr>
              <w:t>+0.2</w:t>
            </w:r>
          </w:p>
        </w:tc>
      </w:tr>
      <w:tr>
        <w:tc>
          <w:tcPr>
            <w:tcW w:type="dxa" w:w="2085"/>
          </w:tcPr>
          <w:p>
            <w:r/>
            <w:r>
              <w:rPr>
                <w:sz w:val="18"/>
              </w:rPr>
              <w:t>Severidad GRD (por nivel)</w:t>
            </w:r>
          </w:p>
        </w:tc>
        <w:tc>
          <w:tcPr>
            <w:tcW w:type="dxa" w:w="2085"/>
          </w:tcPr>
          <w:p>
            <w:r/>
            <w:r>
              <w:rPr>
                <w:sz w:val="18"/>
              </w:rPr>
              <w:t>0.360</w:t>
            </w:r>
          </w:p>
        </w:tc>
        <w:tc>
          <w:tcPr>
            <w:tcW w:type="dxa" w:w="2085"/>
          </w:tcPr>
          <w:p>
            <w:r/>
            <w:r>
              <w:rPr>
                <w:sz w:val="18"/>
              </w:rPr>
              <w:t>0.011</w:t>
            </w:r>
          </w:p>
        </w:tc>
        <w:tc>
          <w:tcPr>
            <w:tcW w:type="dxa" w:w="2085"/>
          </w:tcPr>
          <w:p>
            <w:r/>
            <w:r>
              <w:rPr>
                <w:sz w:val="18"/>
              </w:rPr>
              <w:t>0.338–0.382</w:t>
            </w:r>
          </w:p>
        </w:tc>
        <w:tc>
          <w:tcPr>
            <w:tcW w:type="dxa" w:w="2085"/>
          </w:tcPr>
          <w:p>
            <w:r/>
            <w:r>
              <w:rPr>
                <w:sz w:val="18"/>
              </w:rPr>
              <w:t>+43.4</w:t>
            </w:r>
          </w:p>
        </w:tc>
      </w:tr>
      <w:tr>
        <w:tc>
          <w:tcPr>
            <w:tcW w:type="dxa" w:w="2085"/>
          </w:tcPr>
          <w:p>
            <w:r/>
            <w:r>
              <w:rPr>
                <w:sz w:val="18"/>
              </w:rPr>
              <w:t>Peso GRD (por unidad)</w:t>
            </w:r>
          </w:p>
        </w:tc>
        <w:tc>
          <w:tcPr>
            <w:tcW w:type="dxa" w:w="2085"/>
          </w:tcPr>
          <w:p>
            <w:r/>
            <w:r>
              <w:rPr>
                <w:sz w:val="18"/>
              </w:rPr>
              <w:t>0.001</w:t>
            </w:r>
          </w:p>
        </w:tc>
        <w:tc>
          <w:tcPr>
            <w:tcW w:type="dxa" w:w="2085"/>
          </w:tcPr>
          <w:p>
            <w:r/>
            <w:r>
              <w:rPr>
                <w:sz w:val="18"/>
              </w:rPr>
              <w:t>0.013</w:t>
            </w:r>
          </w:p>
        </w:tc>
        <w:tc>
          <w:tcPr>
            <w:tcW w:type="dxa" w:w="2085"/>
          </w:tcPr>
          <w:p>
            <w:r/>
            <w:r>
              <w:rPr>
                <w:sz w:val="18"/>
              </w:rPr>
              <w:t>-0.024–0.026</w:t>
            </w:r>
          </w:p>
        </w:tc>
        <w:tc>
          <w:tcPr>
            <w:tcW w:type="dxa" w:w="2085"/>
          </w:tcPr>
          <w:p>
            <w:r/>
            <w:r>
              <w:rPr>
                <w:sz w:val="18"/>
              </w:rPr>
              <w:t>+0.1 (ns)</w:t>
            </w:r>
          </w:p>
        </w:tc>
      </w:tr>
      <w:tr>
        <w:tc>
          <w:tcPr>
            <w:tcW w:type="dxa" w:w="2085"/>
          </w:tcPr>
          <w:p>
            <w:r/>
            <w:r>
              <w:rPr>
                <w:sz w:val="18"/>
              </w:rPr>
              <w:t>Comorbilidad (por conteo)</w:t>
            </w:r>
          </w:p>
        </w:tc>
        <w:tc>
          <w:tcPr>
            <w:tcW w:type="dxa" w:w="2085"/>
          </w:tcPr>
          <w:p>
            <w:r/>
            <w:r>
              <w:rPr>
                <w:sz w:val="18"/>
              </w:rPr>
              <w:t>-0.032</w:t>
            </w:r>
          </w:p>
        </w:tc>
        <w:tc>
          <w:tcPr>
            <w:tcW w:type="dxa" w:w="2085"/>
          </w:tcPr>
          <w:p>
            <w:r/>
            <w:r>
              <w:rPr>
                <w:sz w:val="18"/>
              </w:rPr>
              <w:t>0.006</w:t>
            </w:r>
          </w:p>
        </w:tc>
        <w:tc>
          <w:tcPr>
            <w:tcW w:type="dxa" w:w="2085"/>
          </w:tcPr>
          <w:p>
            <w:r/>
            <w:r>
              <w:rPr>
                <w:sz w:val="18"/>
              </w:rPr>
              <w:t>-0.044 a -0.021</w:t>
            </w:r>
          </w:p>
        </w:tc>
        <w:tc>
          <w:tcPr>
            <w:tcW w:type="dxa" w:w="2085"/>
          </w:tcPr>
          <w:p>
            <w:r/>
            <w:r>
              <w:rPr>
                <w:sz w:val="18"/>
              </w:rPr>
              <w:t>-3.2</w:t>
            </w:r>
          </w:p>
        </w:tc>
      </w:tr>
      <w:tr>
        <w:tc>
          <w:tcPr>
            <w:tcW w:type="dxa" w:w="2085"/>
          </w:tcPr>
          <w:p>
            <w:r/>
            <w:r>
              <w:rPr>
                <w:sz w:val="18"/>
              </w:rPr>
              <w:t>Hospital (efectos fijos)</w:t>
            </w:r>
          </w:p>
        </w:tc>
        <w:tc>
          <w:tcPr>
            <w:tcW w:type="dxa" w:w="2085"/>
          </w:tcPr>
          <w:p>
            <w:r/>
            <w:r>
              <w:rPr>
                <w:sz w:val="18"/>
              </w:rPr>
              <w:t>14 dummies</w:t>
            </w:r>
          </w:p>
        </w:tc>
        <w:tc>
          <w:tcPr>
            <w:tcW w:type="dxa" w:w="2085"/>
          </w:tcPr>
          <w:p>
            <w:r/>
            <w:r>
              <w:rPr>
                <w:sz w:val="18"/>
              </w:rPr>
              <w:t>incluidos</w:t>
            </w:r>
          </w:p>
        </w:tc>
        <w:tc>
          <w:tcPr>
            <w:tcW w:type="dxa" w:w="2085"/>
          </w:tcPr>
          <w:p>
            <w:r/>
            <w:r>
              <w:rPr>
                <w:sz w:val="18"/>
              </w:rPr>
              <w:t>—</w:t>
            </w:r>
          </w:p>
        </w:tc>
        <w:tc>
          <w:tcPr>
            <w:tcW w:type="dxa" w:w="2085"/>
          </w:tcPr>
          <w:p>
            <w:r/>
            <w:r>
              <w:rPr>
                <w:sz w:val="18"/>
              </w:rPr>
              <w:t>—</w:t>
            </w:r>
          </w:p>
        </w:tc>
      </w:tr>
    </w:tbl>
    <w:p/>
    <w:p>
      <w:pPr>
        <w:spacing w:after="120"/>
        <w:jc w:val="both"/>
      </w:pPr>
      <w:r>
        <w:rPr>
          <w:rFonts w:ascii="Times New Roman" w:hAnsi="Times New Roman"/>
          <w:i/>
          <w:sz w:val="18"/>
        </w:rPr>
        <w:t>Coeficientes de regresión OLS para log(1 + estadía), errores estándar robustos HC3. β = coeficiente estimado; Δ% = cambio porcentual aproximado en estadía por unidad de incremento [(exp(β)−1)×100]. SE = error estándar; IC = intervalo de confianza.</w:t>
      </w:r>
    </w:p>
    <w:p>
      <w:pPr>
        <w:spacing w:after="120"/>
        <w:jc w:val="both"/>
      </w:pPr>
      <w:r>
        <w:rPr>
          <w:rFonts w:ascii="Times New Roman" w:hAnsi="Times New Roman"/>
          <w:sz w:val="20"/>
        </w:rPr>
        <w:t>Cada procedimiento adicional se asoció con un aumento del 9.7% en la estadía, manteniendo constantes todas las demás covariables. La severidad GRD tuvo el mayor efecto marginal (+43.4% por nivel de severidad), confirmando que la complejidad clínica es el principal driver de la duración de la hospitalización. El peso GRD no mostró efecto significativo (p = 0.955), sugiriendo que la complejidad relativa codificada en este índice no aporta información independiente una vez controlada la severidad explícita y el número de procedimientos.</w:t>
      </w:r>
    </w:p>
    <w:p>
      <w:pPr>
        <w:pStyle w:val="Heading1"/>
        <w:spacing w:after="80"/>
      </w:pPr>
      <w:r>
        <w:rPr>
          <w:b/>
          <w:color w:val="006046"/>
          <w:sz w:val="22"/>
        </w:rPr>
        <w:t>7. Análisis Avanzados</w:t>
      </w:r>
    </w:p>
    <w:p>
      <w:pPr>
        <w:pStyle w:val="Heading2"/>
        <w:spacing w:after="80"/>
      </w:pPr>
      <w:r>
        <w:rPr>
          <w:b/>
          <w:i/>
          <w:color w:val="006046"/>
          <w:sz w:val="20"/>
        </w:rPr>
        <w:t>7.1 Modelo multinivel e ICC</w:t>
      </w:r>
    </w:p>
    <w:p>
      <w:pPr>
        <w:spacing w:after="120"/>
        <w:jc w:val="both"/>
      </w:pPr>
      <w:r>
        <w:rPr>
          <w:rFonts w:ascii="Times New Roman" w:hAnsi="Times New Roman"/>
          <w:sz w:val="20"/>
        </w:rPr>
        <w:t>El modelo MixedLM de intercepto aleatorio (REML) se ajustó en la muestra de regresión (n = 9 740) con hospital como efecto aleatorio. Los componentes de varianza estimados fueron: σ²_hospital ≈ 0.000 y σ²_residual ≈ 0.224, arrojando:</w:t>
      </w:r>
    </w:p>
    <w:p>
      <w:pPr>
        <w:jc w:val="center"/>
      </w:pPr>
      <w:r>
        <w:rPr>
          <w:i/>
          <w:sz w:val="20"/>
        </w:rPr>
        <w:t>ICC = 0.000 / (0.000 + 0.224) = 0.000 (0.00%)</w:t>
      </w:r>
    </w:p>
    <w:p>
      <w:pPr>
        <w:spacing w:after="120"/>
        <w:jc w:val="both"/>
      </w:pPr>
      <w:r>
        <w:rPr>
          <w:rFonts w:ascii="Times New Roman" w:hAnsi="Times New Roman"/>
          <w:sz w:val="20"/>
        </w:rPr>
        <w:t>El ICC de 0.00% indica que, después de ajustar por severidad GRD, peso, edad, comorbilidad y efectos fijos de hospital, no queda varianza institucional residual atribuible al hospital de atención. Esto sugiere que las diferencias observadas en estadía entre hospitales se explican completamente por la mezcla de casos (composición de pacientes) y no por prácticas institucionales diferenciadas.</w:t>
      </w:r>
    </w:p>
    <w:p>
      <w:pPr>
        <w:spacing w:after="120"/>
        <w:jc w:val="both"/>
      </w:pPr>
      <w:r>
        <w:rPr>
          <w:rFonts w:ascii="Times New Roman" w:hAnsi="Times New Roman"/>
          <w:sz w:val="20"/>
        </w:rPr>
        <w:t>Nota metodológica: El modelo de efectos fijos (sección 6.4) captura las diferencias brutas entre hospitales (R² = 0.633), pero una vez descompuesta la varianza en componentes entre y dentro de hospitales mediante MixedLM, la varianza entre hospitales es indistinguible de cero. Esto no contradice el hallazgo de variabilidad procedimental (H₁): los hospitales difieren en cantidad de procedimientos, pero esa diferencia no genera varianza residual en estadía más allá de lo explicado por las características clínicas del paciente.</w:t>
      </w:r>
    </w:p>
    <w:p>
      <w:pPr>
        <w:spacing w:after="120"/>
        <w:jc w:val="both"/>
      </w:pPr>
      <w:r>
        <w:rPr>
          <w:rFonts w:ascii="Times New Roman" w:hAnsi="Times New Roman"/>
          <w:sz w:val="20"/>
        </w:rPr>
        <w:t>La ausencia de varianza entre hospitales en el modelo multinivel tiene implicaciones importantes para la política de salud. Si las diferencias en estadía se explican completamente por la composición de pacientes, entonces los esfuerzos por reducir la variabilidad hospitalaria deben centrarse en estandarizar la clasificación y atención de pacientes según su complejidad, más que en imponer protocolos uniformes de duración de estadía. Esto sugiere que la variabilidad observada es una manifestación de la heterogeneidad del perfil clínico de los pacientes atendidos en cada centro, más que de prácticas institucionales subóptimas.</w:t>
      </w:r>
    </w:p>
    <w:p>
      <w:pPr>
        <w:spacing w:after="120"/>
        <w:jc w:val="both"/>
      </w:pPr>
      <w:r>
        <w:rPr>
          <w:rFonts w:ascii="Times New Roman" w:hAnsi="Times New Roman"/>
          <w:sz w:val="20"/>
        </w:rPr>
        <w:t>Es importante destacar que el ICC de 0.00% no implica que todos los hospitales sean idénticos, sino que las diferencias observadas en la duración de la estadía se deben principalmente a factores observables del paciente (edad, severidad, comorbilidad) y no a factores institucionales no observados. Esto resalta la importancia de un adecuado ajuste por riesgo en la comparación de desempeño hospitalario, ya que comparaciones crudas podrían llevar a conclusiones erróneas sobre la calidad de la atención.</w:t>
      </w:r>
    </w:p>
    <w:p>
      <w:pPr>
        <w:jc w:val="center"/>
      </w:pPr>
      <w:r>
        <w:drawing>
          <wp:inline xmlns:a="http://schemas.openxmlformats.org/drawingml/2006/main" xmlns:pic="http://schemas.openxmlformats.org/drawingml/2006/picture">
            <wp:extent cx="4572000" cy="4572000"/>
            <wp:docPr id="7" name="Picture 7"/>
            <wp:cNvGraphicFramePr>
              <a:graphicFrameLocks noChangeAspect="1"/>
            </wp:cNvGraphicFramePr>
            <a:graphic>
              <a:graphicData uri="http://schemas.openxmlformats.org/drawingml/2006/picture">
                <pic:pic>
                  <pic:nvPicPr>
                    <pic:cNvPr id="0" name="fig_015.png"/>
                    <pic:cNvPicPr/>
                  </pic:nvPicPr>
                  <pic:blipFill>
                    <a:blip r:embed="rId15"/>
                    <a:stretch>
                      <a:fillRect/>
                    </a:stretch>
                  </pic:blipFill>
                  <pic:spPr>
                    <a:xfrm>
                      <a:off x="0" y="0"/>
                      <a:ext cx="4572000" cy="4572000"/>
                    </a:xfrm>
                    <a:prstGeom prst="rect"/>
                  </pic:spPr>
                </pic:pic>
              </a:graphicData>
            </a:graphic>
          </wp:inline>
        </w:drawing>
      </w:r>
    </w:p>
    <w:p>
      <w:pPr>
        <w:jc w:val="both"/>
      </w:pPr>
      <w:r>
        <w:rPr>
          <w:i/>
          <w:color w:val="006046"/>
          <w:sz w:val="18"/>
        </w:rPr>
        <w:t>Figura. Forest plot de interceptos aleatorios por hospital (BLUPs) del modelo de efectos mixtos. Todos los interceptos se superponen con la media global (ICC = 0.00 %), indicando que no hay desviaciones institucionales significativas en estadía después de ajustar por covariables clínicas.</w:t>
      </w:r>
    </w:p>
    <w:p/>
    <w:p>
      <w:pPr>
        <w:pStyle w:val="Heading2"/>
        <w:spacing w:after="80"/>
      </w:pPr>
      <w:r>
        <w:rPr>
          <w:b/>
          <w:i/>
          <w:color w:val="006046"/>
          <w:sz w:val="20"/>
        </w:rPr>
        <w:t>7.2 Análisis socioeconómico: quintiles IDH</w:t>
      </w:r>
    </w:p>
    <w:p>
      <w:pPr>
        <w:spacing w:after="120"/>
        <w:jc w:val="both"/>
      </w:pPr>
      <w:r>
        <w:rPr>
          <w:rFonts w:ascii="Times New Roman" w:hAnsi="Times New Roman"/>
          <w:sz w:val="20"/>
        </w:rPr>
        <w:t>El vínculo de registros GRD con IDH comunal fue exitoso para el 87.3% de los egresos C16.* mediante datos simulados de IDH asignados por distribución comunal (ver limitaciones). El test de Kruskal-Wallis de estadía entre quintiles IDH arrojó H(4) = 6.23, p = 0.182 (no significativo). El test chi-cuadrado de mortalidad entre quintiles arrojó χ²(4) = 5.23, p = 0.265 (no significativo).</w:t>
      </w:r>
    </w:p>
    <w:p>
      <w:pPr>
        <w:spacing w:after="120"/>
        <w:jc w:val="both"/>
      </w:pPr>
      <w:r>
        <w:rPr>
          <w:rFonts w:ascii="Times New Roman" w:hAnsi="Times New Roman"/>
          <w:sz w:val="20"/>
        </w:rPr>
        <w:t>La tasa de mortalidad intrahospitalaria exhibió un gradiente invertido respecto al esperado: Q1 (municipios IDH más bajo): 5.1%; Q2: 4.7%; Q3: 4.1%; Q4: 4.5%; Q5 (IDH más alto): 6.2%. La diferencia absoluta entre Q5 y Q1 fue 1.1 puntos porcentuales, con mayor mortalidad en el quintil más favorecido.</w:t>
      </w:r>
    </w:p>
    <w:p>
      <w:pPr>
        <w:spacing w:after="120"/>
        <w:jc w:val="both"/>
      </w:pPr>
      <w:r>
        <w:rPr>
          <w:rFonts w:ascii="Times New Roman" w:hAnsi="Times New Roman"/>
          <w:sz w:val="20"/>
        </w:rPr>
        <w:t>Este gradiente invertido puede explicarse por sesgos de selección: pacientes de municipios con mayor IDH (mayor recursos) pueden acceder a hospitales de mayor complejidad donde se atienden casos más graves, o bien pueden tener mayor probabilidad de ser hospitalizados solo en etapas avanzadas. Alternativamente, la simulación de IDH puede no capturar adecuadamente la heterogeneidad intra-comunal.</w:t>
      </w:r>
    </w:p>
    <w:p>
      <w:pPr>
        <w:jc w:val="center"/>
      </w:pPr>
      <w:r>
        <w:drawing>
          <wp:inline xmlns:a="http://schemas.openxmlformats.org/drawingml/2006/main" xmlns:pic="http://schemas.openxmlformats.org/drawingml/2006/picture">
            <wp:extent cx="4572000" cy="2724727"/>
            <wp:docPr id="8" name="Picture 8"/>
            <wp:cNvGraphicFramePr>
              <a:graphicFrameLocks noChangeAspect="1"/>
            </wp:cNvGraphicFramePr>
            <a:graphic>
              <a:graphicData uri="http://schemas.openxmlformats.org/drawingml/2006/picture">
                <pic:pic>
                  <pic:nvPicPr>
                    <pic:cNvPr id="0" name="fig_017.png"/>
                    <pic:cNvPicPr/>
                  </pic:nvPicPr>
                  <pic:blipFill>
                    <a:blip r:embed="rId16"/>
                    <a:stretch>
                      <a:fillRect/>
                    </a:stretch>
                  </pic:blipFill>
                  <pic:spPr>
                    <a:xfrm>
                      <a:off x="0" y="0"/>
                      <a:ext cx="4572000" cy="2724727"/>
                    </a:xfrm>
                    <a:prstGeom prst="rect"/>
                  </pic:spPr>
                </pic:pic>
              </a:graphicData>
            </a:graphic>
          </wp:inline>
        </w:drawing>
      </w:r>
    </w:p>
    <w:p>
      <w:pPr>
        <w:jc w:val="both"/>
      </w:pPr>
      <w:r>
        <w:rPr>
          <w:i/>
          <w:color w:val="006046"/>
          <w:sz w:val="18"/>
        </w:rPr>
        <w:t>Figura. Tasa de mortalidad intrahospitalaria (%) por quintil de Índice de Desarrollo Humano (IDH) comunal. Q1 = IDH más bajo; Q5 = IDH más alto. Las barras de error representan intervalos de confianza del 95%. Nota: los datos de IDH son simulados por distribución comunal.</w:t>
      </w:r>
    </w:p>
    <w:p/>
    <w:p>
      <w:pPr>
        <w:pStyle w:val="Heading2"/>
        <w:spacing w:after="80"/>
      </w:pPr>
      <w:r>
        <w:rPr>
          <w:b/>
          <w:i/>
          <w:color w:val="006046"/>
          <w:sz w:val="20"/>
        </w:rPr>
        <w:t>7.3 Tipología hospitalaria: clustering K-means</w:t>
      </w:r>
    </w:p>
    <w:p>
      <w:pPr>
        <w:spacing w:after="120"/>
        <w:jc w:val="both"/>
      </w:pPr>
      <w:r>
        <w:rPr>
          <w:rFonts w:ascii="Times New Roman" w:hAnsi="Times New Roman"/>
          <w:sz w:val="20"/>
        </w:rPr>
        <w:t>El análisis de silhouette sugirió k = 2 como número óptimo de clusters (silhouette = 0.407), aunque se evaluó también k = 3 (silhouette = 0.318). El modelo k = 2 identificó dos perfiles hospitalarios distintos:</w:t>
      </w:r>
    </w:p>
    <w:tbl>
      <w:tblPr>
        <w:tblStyle w:val="TableGrid"/>
        <w:tblW w:type="auto" w:w="0"/>
        <w:tblLook w:firstColumn="1" w:firstRow="1" w:lastColumn="0" w:lastRow="0" w:noHBand="0" w:noVBand="1" w:val="04A0"/>
      </w:tblPr>
      <w:tblGrid>
        <w:gridCol w:w="1489"/>
        <w:gridCol w:w="1489"/>
        <w:gridCol w:w="1489"/>
        <w:gridCol w:w="1489"/>
        <w:gridCol w:w="1489"/>
        <w:gridCol w:w="1489"/>
        <w:gridCol w:w="1489"/>
      </w:tblGrid>
      <w:tr>
        <w:tc>
          <w:tcPr>
            <w:tcW w:type="dxa" w:w="1489"/>
            <w:shd w:fill="006046"/>
          </w:tcPr>
          <w:p>
            <w:r/>
            <w:r>
              <w:rPr>
                <w:b/>
                <w:color w:val="FFFFFF"/>
                <w:sz w:val="18"/>
              </w:rPr>
              <w:t>Cluster</w:t>
            </w:r>
          </w:p>
        </w:tc>
        <w:tc>
          <w:tcPr>
            <w:tcW w:type="dxa" w:w="1489"/>
            <w:shd w:fill="006046"/>
          </w:tcPr>
          <w:p>
            <w:r/>
            <w:r>
              <w:rPr>
                <w:b/>
                <w:color w:val="FFFFFF"/>
                <w:sz w:val="18"/>
              </w:rPr>
              <w:t>n hosp.</w:t>
            </w:r>
          </w:p>
        </w:tc>
        <w:tc>
          <w:tcPr>
            <w:tcW w:type="dxa" w:w="1489"/>
            <w:shd w:fill="006046"/>
          </w:tcPr>
          <w:p>
            <w:r/>
            <w:r>
              <w:rPr>
                <w:b/>
                <w:color w:val="FFFFFF"/>
                <w:sz w:val="18"/>
              </w:rPr>
              <w:t>Mort. %</w:t>
            </w:r>
          </w:p>
        </w:tc>
        <w:tc>
          <w:tcPr>
            <w:tcW w:type="dxa" w:w="1489"/>
            <w:shd w:fill="006046"/>
          </w:tcPr>
          <w:p>
            <w:r/>
            <w:r>
              <w:rPr>
                <w:b/>
                <w:color w:val="FFFFFF"/>
                <w:sz w:val="18"/>
              </w:rPr>
              <w:t>Estadía</w:t>
            </w:r>
          </w:p>
        </w:tc>
        <w:tc>
          <w:tcPr>
            <w:tcW w:type="dxa" w:w="1489"/>
            <w:shd w:fill="006046"/>
          </w:tcPr>
          <w:p>
            <w:r/>
            <w:r>
              <w:rPr>
                <w:b/>
                <w:color w:val="FFFFFF"/>
                <w:sz w:val="18"/>
              </w:rPr>
              <w:t>Proc.</w:t>
            </w:r>
          </w:p>
        </w:tc>
        <w:tc>
          <w:tcPr>
            <w:tcW w:type="dxa" w:w="1489"/>
            <w:shd w:fill="006046"/>
          </w:tcPr>
          <w:p>
            <w:r/>
            <w:r>
              <w:rPr>
                <w:b/>
                <w:color w:val="FFFFFF"/>
                <w:sz w:val="18"/>
              </w:rPr>
              <w:t>Urg. %</w:t>
            </w:r>
          </w:p>
        </w:tc>
        <w:tc>
          <w:tcPr>
            <w:tcW w:type="dxa" w:w="1489"/>
            <w:shd w:fill="006046"/>
          </w:tcPr>
          <w:p>
            <w:r/>
            <w:r>
              <w:rPr>
                <w:b/>
                <w:color w:val="FFFFFF"/>
                <w:sz w:val="18"/>
              </w:rPr>
              <w:t>Sev. GRD</w:t>
            </w:r>
          </w:p>
        </w:tc>
      </w:tr>
      <w:tr>
        <w:tc>
          <w:tcPr>
            <w:tcW w:type="dxa" w:w="1489"/>
          </w:tcPr>
          <w:p>
            <w:r/>
            <w:r>
              <w:rPr>
                <w:sz w:val="18"/>
              </w:rPr>
              <w:t>0 — Alta complejidad / Urgente</w:t>
            </w:r>
          </w:p>
        </w:tc>
        <w:tc>
          <w:tcPr>
            <w:tcW w:type="dxa" w:w="1489"/>
          </w:tcPr>
          <w:p>
            <w:r/>
            <w:r>
              <w:rPr>
                <w:sz w:val="18"/>
              </w:rPr>
              <w:t>18</w:t>
            </w:r>
          </w:p>
        </w:tc>
        <w:tc>
          <w:tcPr>
            <w:tcW w:type="dxa" w:w="1489"/>
          </w:tcPr>
          <w:p>
            <w:r/>
            <w:r>
              <w:rPr>
                <w:sz w:val="18"/>
              </w:rPr>
              <w:t>16.1</w:t>
            </w:r>
          </w:p>
        </w:tc>
        <w:tc>
          <w:tcPr>
            <w:tcW w:type="dxa" w:w="1489"/>
          </w:tcPr>
          <w:p>
            <w:r/>
            <w:r>
              <w:rPr>
                <w:sz w:val="18"/>
              </w:rPr>
              <w:t>7.3</w:t>
            </w:r>
          </w:p>
        </w:tc>
        <w:tc>
          <w:tcPr>
            <w:tcW w:type="dxa" w:w="1489"/>
          </w:tcPr>
          <w:p>
            <w:r/>
            <w:r>
              <w:rPr>
                <w:sz w:val="18"/>
              </w:rPr>
              <w:t>11.1</w:t>
            </w:r>
          </w:p>
        </w:tc>
        <w:tc>
          <w:tcPr>
            <w:tcW w:type="dxa" w:w="1489"/>
          </w:tcPr>
          <w:p>
            <w:r/>
            <w:r>
              <w:rPr>
                <w:sz w:val="18"/>
              </w:rPr>
              <w:t>82.3</w:t>
            </w:r>
          </w:p>
        </w:tc>
        <w:tc>
          <w:tcPr>
            <w:tcW w:type="dxa" w:w="1489"/>
          </w:tcPr>
          <w:p>
            <w:r/>
            <w:r>
              <w:rPr>
                <w:sz w:val="18"/>
              </w:rPr>
              <w:t>2.14</w:t>
            </w:r>
          </w:p>
        </w:tc>
      </w:tr>
      <w:tr>
        <w:tc>
          <w:tcPr>
            <w:tcW w:type="dxa" w:w="1489"/>
          </w:tcPr>
          <w:p>
            <w:r/>
            <w:r>
              <w:rPr>
                <w:sz w:val="18"/>
              </w:rPr>
              <w:t>1 — General / Menor complejidad</w:t>
            </w:r>
          </w:p>
        </w:tc>
        <w:tc>
          <w:tcPr>
            <w:tcW w:type="dxa" w:w="1489"/>
          </w:tcPr>
          <w:p>
            <w:r/>
            <w:r>
              <w:rPr>
                <w:sz w:val="18"/>
              </w:rPr>
              <w:t>39</w:t>
            </w:r>
          </w:p>
        </w:tc>
        <w:tc>
          <w:tcPr>
            <w:tcW w:type="dxa" w:w="1489"/>
          </w:tcPr>
          <w:p>
            <w:r/>
            <w:r>
              <w:rPr>
                <w:sz w:val="18"/>
              </w:rPr>
              <w:t>5.1</w:t>
            </w:r>
          </w:p>
        </w:tc>
        <w:tc>
          <w:tcPr>
            <w:tcW w:type="dxa" w:w="1489"/>
          </w:tcPr>
          <w:p>
            <w:r/>
            <w:r>
              <w:rPr>
                <w:sz w:val="18"/>
              </w:rPr>
              <w:t>6.3</w:t>
            </w:r>
          </w:p>
        </w:tc>
        <w:tc>
          <w:tcPr>
            <w:tcW w:type="dxa" w:w="1489"/>
          </w:tcPr>
          <w:p>
            <w:r/>
            <w:r>
              <w:rPr>
                <w:sz w:val="18"/>
              </w:rPr>
              <w:t>8.3</w:t>
            </w:r>
          </w:p>
        </w:tc>
        <w:tc>
          <w:tcPr>
            <w:tcW w:type="dxa" w:w="1489"/>
          </w:tcPr>
          <w:p>
            <w:r/>
            <w:r>
              <w:rPr>
                <w:sz w:val="18"/>
              </w:rPr>
              <w:t>34.4</w:t>
            </w:r>
          </w:p>
        </w:tc>
        <w:tc>
          <w:tcPr>
            <w:tcW w:type="dxa" w:w="1489"/>
          </w:tcPr>
          <w:p>
            <w:r/>
            <w:r>
              <w:rPr>
                <w:sz w:val="18"/>
              </w:rPr>
              <w:t>1.56</w:t>
            </w:r>
          </w:p>
        </w:tc>
      </w:tr>
    </w:tbl>
    <w:p/>
    <w:p>
      <w:pPr>
        <w:spacing w:after="120"/>
        <w:jc w:val="both"/>
      </w:pPr>
      <w:r>
        <w:rPr>
          <w:rFonts w:ascii="Times New Roman" w:hAnsi="Times New Roman"/>
          <w:i/>
          <w:sz w:val="18"/>
        </w:rPr>
        <w:t>Centroides de clusters K-means (k = 2). Tasa media de mortalidad intrahospitalaria (%), estadía media (días) y tasa de ingreso de urgencia (%). Las etiquetas de cluster son interpretativas. Coeficiente de silueta = 0.407.</w:t>
      </w:r>
    </w:p>
    <w:p>
      <w:pPr>
        <w:spacing w:after="120"/>
        <w:jc w:val="both"/>
      </w:pPr>
      <w:r>
        <w:rPr>
          <w:rFonts w:ascii="Times New Roman" w:hAnsi="Times New Roman"/>
          <w:sz w:val="20"/>
        </w:rPr>
        <w:t>El Cluster 0 (alta complejidad/urgente, n = 18 hospitales) concentró el 12% de los hospitales pero el 48% de la mortalidad (16.1% vs. 5.1%), con mayor estadía (7.3 vs. 6.3 días), más procedimientos (11.1 vs. 8.3) y tasas de urgencia más altas (82.3% vs. 34.4%). Estos hospitales atienden una población más enferma y en etapas más avanzadas. El Cluster 1 (general/menor complejidad, n = 39 hospitales) representa la mayoría de la red y atiende casos más electivos y de menor complejidad. La elección de k = 2 en lugar de k = 3 refleja una separación nítida entre estos dos perfiles, en lugar de un perfil intermedio quirúrgico/especializado.</w:t>
      </w:r>
    </w:p>
    <w:p>
      <w:pPr>
        <w:pStyle w:val="Heading1"/>
        <w:spacing w:after="80"/>
      </w:pPr>
      <w:r>
        <w:rPr>
          <w:b/>
          <w:color w:val="006046"/>
          <w:sz w:val="22"/>
        </w:rPr>
        <w:t>8. Discusión</w:t>
      </w:r>
    </w:p>
    <w:p>
      <w:pPr>
        <w:pStyle w:val="Heading2"/>
        <w:spacing w:after="80"/>
      </w:pPr>
      <w:r>
        <w:rPr>
          <w:b/>
          <w:i/>
          <w:color w:val="006046"/>
          <w:sz w:val="20"/>
        </w:rPr>
        <w:t>8.1 Hallazgos principales</w:t>
      </w:r>
    </w:p>
    <w:p>
      <w:pPr>
        <w:spacing w:after="120"/>
        <w:jc w:val="both"/>
      </w:pPr>
      <w:r>
        <w:rPr>
          <w:rFonts w:ascii="Times New Roman" w:hAnsi="Times New Roman"/>
          <w:sz w:val="20"/>
        </w:rPr>
        <w:t>Este estudio proporciona, a nuestro conocimiento, la primera cuantificación de la variación hospitalaria en desenlaces de cáncer gástrico en la red pública de salud de Chile usando métodos multinivel y vínculo con indicadores territoriales socioeconómicos. Nuestros hallazgos principales son: (i) la variabilidad procedimental entre hospitales es estructural y generalizada (H = 1.909,40; ε² = 0.146), con diferencias significativas en la mayoría de pares hospitalarios tras corrección de Bonferroni; (ii) la cantidad de procedimientos se asocia independientemente con la mortalidad intrahospitalaria (OR = 1.053) y la estadía (+8.9 %) después de controlar por severidad, peso, edad, comorbilidad y hospital; (iii) el modelo multinivel de intercepto aleatorio arrojó ICC = 0.00 %, indicando que las diferencias en estadía entre hospitales se explican completamente por la composición de pacientes y no por prácticas institucionales residuales; (iv) los pacientes de municipios con mayor IDH experimentaron una tasa de mortalidad 1.1 puntos porcentuales mayor que los del quintil más desfavorecido, un gradiente invertido respecto al esperado.</w:t>
      </w:r>
    </w:p>
    <w:p>
      <w:pPr>
        <w:pStyle w:val="Heading2"/>
        <w:spacing w:after="80"/>
      </w:pPr>
      <w:r>
        <w:rPr>
          <w:b/>
          <w:i/>
          <w:color w:val="006046"/>
          <w:sz w:val="20"/>
        </w:rPr>
        <w:t>8.2 Comparación con evidencia internacional</w:t>
      </w:r>
    </w:p>
    <w:p>
      <w:pPr>
        <w:spacing w:after="120"/>
        <w:jc w:val="both"/>
      </w:pPr>
      <w:r>
        <w:rPr>
          <w:rFonts w:ascii="Times New Roman" w:hAnsi="Times New Roman"/>
          <w:sz w:val="20"/>
        </w:rPr>
        <w:t>La magnitud de la variación procedimental observada es consistente con la literatura internacional. Kamaraju et al. documentaron diferencias de mortalidad de hasta 8 puntos porcentuales entre hospitales de EE.UU. que tratan cáncer gástrico, después del ajuste de riesgo. El informe Health at a Glance 2023 de la OCDE identifica la variación inter-hospitalaria como un indicador prioritario de calidad. Sin embargo, nuestro ICC de 0.00 % difiere de los valores reportados en países de altos ingresos (15–25 %), lo que puede reflejar: (a) que el sistema GRD chileno ya captura la mayoría de la variación institucional a través de la clasificación de severidad; (b) limitaciones de poder estadístico con 15 hospitales; o (c) que la variación procedimental no se traduce en diferencias residuales de estadía una vez ajustado por complejidad clínica.</w:t>
      </w:r>
    </w:p>
    <w:p>
      <w:pPr>
        <w:spacing w:after="120"/>
        <w:jc w:val="both"/>
      </w:pPr>
      <w:r>
        <w:rPr>
          <w:rFonts w:ascii="Times New Roman" w:hAnsi="Times New Roman"/>
          <w:sz w:val="20"/>
        </w:rPr>
        <w:t>El gradiente IDH invertido contrasta con la evidencia de Colombia y Brasil, donde las desigualdades geográficas en desenlaces oncológicos favorecen a pacientes de mayor nivel socioeconómico. La discrepancia puede deberse a que nuestros datos de IDH son simulados por distribución comunal, a sesgos de selección en la hospitalización (pacientes de mayor IDH solo se hospitalizan en etapas más graves), o a que el Sistema Público Nacional de Salud (FONASA) proporciona acceso relativamente equitativo a hospitalización, atenuando los gradientes socioeconómicos en desenlaces intrahospitalarios.</w:t>
      </w:r>
    </w:p>
    <w:p>
      <w:pPr>
        <w:pStyle w:val="Heading2"/>
        <w:spacing w:after="80"/>
      </w:pPr>
      <w:r>
        <w:rPr>
          <w:b/>
          <w:i/>
          <w:color w:val="006046"/>
          <w:sz w:val="20"/>
        </w:rPr>
        <w:t>8.3 Interpretación mecanicista</w:t>
      </w:r>
    </w:p>
    <w:p>
      <w:pPr>
        <w:spacing w:after="120"/>
        <w:jc w:val="both"/>
      </w:pPr>
      <w:r>
        <w:rPr>
          <w:rFonts w:ascii="Times New Roman" w:hAnsi="Times New Roman"/>
          <w:sz w:val="20"/>
        </w:rPr>
        <w:t>Dos mecanismos complementarios probablemente explican nuestros hallazgos. Primero, el confounding por indicación: pacientes más graves reciben más procedimientos, lo que infla la asociación aparente entre procedimientos y mortalidad/estadía incluso después del ajuste por severidad GRD. Segundo, la ausencia de varianza institucional residual (ICC = 0.00 %) sugiere que los hospitales difieren en la cantidad de procedimientos que realizan, pero esa diferencia está completamente mediatizada por las características clínicas de los pacientes atendidos —no por prácticas institucionales diferenciadas una vez controlado por el perfil de caso.</w:t>
      </w:r>
    </w:p>
    <w:p>
      <w:pPr>
        <w:pStyle w:val="Heading2"/>
        <w:spacing w:after="80"/>
      </w:pPr>
      <w:r>
        <w:rPr>
          <w:b/>
          <w:i/>
          <w:color w:val="006046"/>
          <w:sz w:val="20"/>
        </w:rPr>
        <w:t>8.4 Limitaciones</w:t>
      </w:r>
    </w:p>
    <w:p>
      <w:pPr>
        <w:spacing w:after="120"/>
        <w:jc w:val="both"/>
      </w:pPr>
      <w:r>
        <w:rPr>
          <w:rFonts w:ascii="Times New Roman" w:hAnsi="Times New Roman"/>
          <w:sz w:val="20"/>
        </w:rPr>
        <w:t>La base GRD no incluye estadio TNM, histología, ECOG ni regímenes de tratamiento específicos. Estas variables, de estar disponibles, explicarían una porción de la varianza residual (36.7 % no explicada en H₃). La unidad de análisis es el episodio de hospitalización, no el paciente individual. El análisis IDH opera a nivel comunal con datos simulados, introduciendo riesgo de falacia ecológica y potencial sesgo de asignación. El diseño observacional precluye inferencia causal. Finalmente, el ICC = 0.00 % puede reflejar insuficiente poder estadístico para detectar varianza entre hospitales con solo 15 unidades de nivel 2, o puede indicar que la severidad GRD captura efectivamente toda la variación institucional relevante.</w:t>
      </w:r>
    </w:p>
    <w:p>
      <w:pPr>
        <w:pStyle w:val="Heading1"/>
        <w:spacing w:after="80"/>
      </w:pPr>
      <w:r>
        <w:rPr>
          <w:b/>
          <w:color w:val="006046"/>
          <w:sz w:val="22"/>
        </w:rPr>
        <w:t>9. Conclusiones</w:t>
      </w:r>
    </w:p>
    <w:p>
      <w:pPr>
        <w:spacing w:after="120"/>
        <w:jc w:val="both"/>
      </w:pPr>
      <w:r>
        <w:rPr>
          <w:rFonts w:ascii="Times New Roman" w:hAnsi="Times New Roman"/>
          <w:sz w:val="20"/>
        </w:rPr>
        <w:t>La variación procedimental entre hospitales en el cuidado del cáncer gástrico en Chile es sustancial y estadísticamente significativa (H = 1.909,40; ε² = 0.146). Sin embargo, el modelo multinivel no detectó varianza institucional residual en estadía (ICC = 0.00 %), sugiriendo que las diferencias observadas se explican por la composición de pacientes y no por prácticas institucionales diferenciadas. El gradiente socioeconómico en mortalidad intrahospitalaria fue invertido (mayor mortalidad en quintiles IDH más altos), lo que cuestiona la hipótesis de desventaja socioeconómica directa en desenlaces intrahospitalarios y sugiere mecanismos de selección más complejos.</w:t>
      </w:r>
    </w:p>
    <w:p>
      <w:pPr>
        <w:spacing w:after="120"/>
        <w:jc w:val="both"/>
      </w:pPr>
      <w:r>
        <w:rPr>
          <w:rFonts w:ascii="Times New Roman" w:hAnsi="Times New Roman"/>
          <w:sz w:val="20"/>
        </w:rPr>
        <w:t>Tres implicancias de política pública siguen de nuestra evidencia:</w:t>
      </w:r>
    </w:p>
    <w:p>
      <w:pPr>
        <w:spacing w:after="120"/>
        <w:jc w:val="both"/>
      </w:pPr>
      <w:r>
        <w:rPr>
          <w:rFonts w:ascii="Times New Roman" w:hAnsi="Times New Roman"/>
          <w:sz w:val="20"/>
        </w:rPr>
        <w:t>(1) Estandarizar la cantidad y tipo de procedimientos oncológicos entre hospitales, dado que la variabilidad procedimental es alta pero no se asocia con diferencias residuales en estadía una vez ajustada por severidad. La estandarización no implica uniformidad absoluta, sino establecer rangos aceptables basados en evidencia para cada perfil de paciente.</w:t>
      </w:r>
    </w:p>
    <w:p>
      <w:pPr>
        <w:spacing w:after="120"/>
        <w:jc w:val="both"/>
      </w:pPr>
      <w:r>
        <w:rPr>
          <w:rFonts w:ascii="Times New Roman" w:hAnsi="Times New Roman"/>
          <w:sz w:val="20"/>
        </w:rPr>
        <w:t>(2) Investigar el gradiente IDH invertido con datos socioeconómicos individuales (no comunales simulados) para descartar sesgos de selección y comprender si el acceso a hospitales de mayor complejidad por parte de pacientes de mayor IDH explica su mayor mortalidad observada. La implementación de encuestas de carga de enfermedad vinculadas a los registros GRD permitiría capturar variables socioeconómicas individuales y resolver esta incógnita.</w:t>
      </w:r>
    </w:p>
    <w:p>
      <w:pPr>
        <w:spacing w:after="120"/>
        <w:jc w:val="both"/>
      </w:pPr>
      <w:r>
        <w:rPr>
          <w:rFonts w:ascii="Times New Roman" w:hAnsi="Times New Roman"/>
          <w:sz w:val="20"/>
        </w:rPr>
        <w:t>(3) Mejorar la captura de variables clínicas en la base GRD (estadio TNM, ECOG, histología) para aumentar la varianza explicada y reducir el riesgo de confounding por indicación en la asociación procedimientos–mortalidad. La incorporación de estos datos permitiría ajustar más finamente por severidad y reducir el sesgo de confusión que actualmente puede estar inflando la asociación entre procedimientos y mortalidad.</w:t>
      </w:r>
    </w:p>
    <w:p>
      <w:pPr>
        <w:spacing w:after="120"/>
        <w:jc w:val="both"/>
      </w:pPr>
      <w:r>
        <w:rPr>
          <w:rFonts w:ascii="Times New Roman" w:hAnsi="Times New Roman"/>
          <w:sz w:val="20"/>
        </w:rPr>
        <w:t>Estas recomendaciones son aplicables dentro del marco de gobernanza FONASA actual y no requieren cambios legislativos mayores, aunque sí mejoras en la recolección de datos clínicos y socioeconómicos individuales. La implementación progresiva de estas mejoras podría fortalecer significativamente la capacidad del sistema para monitorear y mejorar la calidad de la atención oncológica en el sector público chileno.</w:t>
      </w:r>
    </w:p>
    <w:p>
      <w:pPr>
        <w:spacing w:after="120"/>
        <w:jc w:val="both"/>
      </w:pPr>
      <w:r>
        <w:rPr>
          <w:rFonts w:ascii="Times New Roman" w:hAnsi="Times New Roman"/>
          <w:sz w:val="20"/>
        </w:rPr>
        <w:t>Además, los hallazgos de este estudio tienen relevancia para la planificación sanitaria. La identificación de dos tipologías hospitalarias distintas (clusters) sugiere que una estrategia de "talla única" para mejorar la calidad podría ser ineficiente. Los hospitales del Cluster 1 (alta complejidad) podrían beneficiarse de protocolos de manejo de casos graves y programas de cuidados paliativos, mientras que los del Cluster 2 podrían enfocarse en la detección temprana y el tratamiento quirúrgico oportuno.</w:t>
      </w:r>
    </w:p>
    <w:p>
      <w:pPr>
        <w:spacing w:after="120"/>
        <w:jc w:val="both"/>
      </w:pPr>
      <w:r>
        <w:rPr>
          <w:rFonts w:ascii="Times New Roman" w:hAnsi="Times New Roman"/>
          <w:sz w:val="20"/>
        </w:rPr>
        <w:t>Finalmente, la ausencia de varianza institucional residual (ICC = 0.00%) es un hallazgo alentador desde la perspectiva de la equidad: sugiere que, una vez controlada la complejidad del caso, el sistema público chileno proporciona una duración de estadía relativamente uniforme. Esto no debe interpretarse como que no hay margen de mejora, sino que las diferencias observadas reflejan adecuadamente la heterogeneidad del perfil clínico de los pacientes.</w:t>
      </w:r>
    </w:p>
    <w:p>
      <w:r>
        <w:br w:type="page"/>
      </w:r>
    </w:p>
    <w:p>
      <w:pPr>
        <w:pStyle w:val="Heading1"/>
        <w:spacing w:after="80"/>
      </w:pPr>
      <w:r>
        <w:rPr>
          <w:b/>
          <w:color w:val="006046"/>
          <w:sz w:val="22"/>
        </w:rPr>
        <w:t>Colaboradores</w:t>
      </w:r>
    </w:p>
    <w:p>
      <w:pPr>
        <w:spacing w:after="120"/>
        <w:jc w:val="both"/>
      </w:pPr>
      <w:r>
        <w:rPr>
          <w:rFonts w:ascii="Times New Roman" w:hAnsi="Times New Roman"/>
          <w:sz w:val="20"/>
        </w:rPr>
        <w:t>Vicente Rodríguez, José Tomás Amat y Sebastián Herrera contribuyeron por igual a la conceptualización, curación de datos, análisis formal, visualización y redacción. Vicente Rodríguez tuvo responsabilidad principal por el modelado estadístico y el desarrollo de código.</w:t>
      </w:r>
    </w:p>
    <w:p>
      <w:pPr>
        <w:pStyle w:val="Heading1"/>
        <w:spacing w:after="80"/>
      </w:pPr>
      <w:r>
        <w:rPr>
          <w:b/>
          <w:color w:val="006046"/>
          <w:sz w:val="22"/>
        </w:rPr>
        <w:t>Declaración de intereses</w:t>
      </w:r>
    </w:p>
    <w:p>
      <w:pPr>
        <w:spacing w:after="120"/>
        <w:jc w:val="both"/>
      </w:pPr>
      <w:r>
        <w:rPr>
          <w:rFonts w:ascii="Times New Roman" w:hAnsi="Times New Roman"/>
          <w:sz w:val="20"/>
        </w:rPr>
        <w:t>Los autores declaran no tener conflictos de intereses. Este trabajo se realizó como proyecto final del curso Análisis de Datos e Inferencia Estadística, Escuela de Ingeniería, Universidad del Desarrollo, Santiago, Chile (2026).</w:t>
      </w:r>
    </w:p>
    <w:p>
      <w:pPr>
        <w:pStyle w:val="Heading1"/>
        <w:spacing w:after="80"/>
      </w:pPr>
      <w:r>
        <w:rPr>
          <w:b/>
          <w:color w:val="006046"/>
          <w:sz w:val="22"/>
        </w:rPr>
        <w:t>Compartición de datos</w:t>
      </w:r>
    </w:p>
    <w:p>
      <w:pPr>
        <w:spacing w:after="120"/>
        <w:jc w:val="both"/>
      </w:pPr>
      <w:r>
        <w:rPr>
          <w:rFonts w:ascii="Times New Roman" w:hAnsi="Times New Roman"/>
          <w:sz w:val="20"/>
        </w:rPr>
        <w:t>La base de datos GRD está disponible públicamente desde el Ministerio de Salud de Chile (datos.gob.cl). Los códigos de análisis, el dataset limpio y los archivos de salida están disponibles en el repositorio del proyecto.</w:t>
      </w:r>
    </w:p>
    <w:p>
      <w:pPr>
        <w:pStyle w:val="Heading1"/>
        <w:spacing w:after="80"/>
      </w:pPr>
      <w:r>
        <w:rPr>
          <w:b/>
          <w:color w:val="006046"/>
          <w:sz w:val="22"/>
        </w:rPr>
        <w:t>Agradecimientos</w:t>
      </w:r>
    </w:p>
    <w:p>
      <w:pPr>
        <w:spacing w:after="120"/>
        <w:jc w:val="both"/>
      </w:pPr>
      <w:r>
        <w:rPr>
          <w:rFonts w:ascii="Times New Roman" w:hAnsi="Times New Roman"/>
          <w:sz w:val="20"/>
        </w:rPr>
        <w:t>Los autores agradecen al Ministerio de Salud de Chile (MINSAL) y a FONASA por mantener la base de datos GRD de acceso público. Los análisis computacionales se realizaron usando Python 3.13 con las librerías pandas, numpy, statsmodels, scikit-learn, matplotlib y seaborn.</w:t>
      </w:r>
    </w:p>
    <w:p>
      <w:r>
        <w:br w:type="page"/>
      </w:r>
    </w:p>
    <w:p>
      <w:pPr>
        <w:pStyle w:val="Heading1"/>
        <w:spacing w:after="80"/>
      </w:pPr>
      <w:r>
        <w:rPr>
          <w:b/>
          <w:color w:val="006046"/>
          <w:sz w:val="22"/>
        </w:rPr>
        <w:t>Anexos</w:t>
      </w:r>
    </w:p>
    <w:p>
      <w:pPr>
        <w:pStyle w:val="Heading2"/>
        <w:spacing w:after="80"/>
      </w:pPr>
      <w:r>
        <w:rPr>
          <w:b/>
          <w:i/>
          <w:color w:val="006046"/>
          <w:sz w:val="20"/>
        </w:rPr>
        <w:t>Anexo A. Tabla descriptiva comparativa: universo oncológico vs. cáncer gástrico</w:t>
      </w:r>
    </w:p>
    <w:p>
      <w:pPr>
        <w:spacing w:after="120"/>
        <w:jc w:val="both"/>
      </w:pPr>
      <w:r>
        <w:rPr>
          <w:rFonts w:ascii="Times New Roman" w:hAnsi="Times New Roman"/>
          <w:sz w:val="20"/>
        </w:rPr>
        <w:t>Comparación de estadísticas descriptivas entre el universo oncológico completo (CIE-10 C00–D49) y el subconjunto focal de cáncer gástrico (C16.*).</w:t>
      </w:r>
    </w:p>
    <w:tbl>
      <w:tblPr>
        <w:tblStyle w:val="TableGrid"/>
        <w:tblW w:type="auto" w:w="0"/>
        <w:tblLook w:firstColumn="1" w:firstRow="1" w:lastColumn="0" w:lastRow="0" w:noHBand="0" w:noVBand="1" w:val="04A0"/>
      </w:tblPr>
      <w:tblGrid>
        <w:gridCol w:w="2606"/>
        <w:gridCol w:w="2606"/>
        <w:gridCol w:w="2606"/>
        <w:gridCol w:w="2606"/>
      </w:tblGrid>
      <w:tr>
        <w:tc>
          <w:tcPr>
            <w:tcW w:type="dxa" w:w="2606"/>
            <w:shd w:fill="006046"/>
          </w:tcPr>
          <w:p>
            <w:r/>
            <w:r>
              <w:rPr>
                <w:b/>
                <w:color w:val="FFFFFF"/>
                <w:sz w:val="18"/>
              </w:rPr>
              <w:t>Variable</w:t>
            </w:r>
          </w:p>
        </w:tc>
        <w:tc>
          <w:tcPr>
            <w:tcW w:type="dxa" w:w="2606"/>
            <w:shd w:fill="006046"/>
          </w:tcPr>
          <w:p>
            <w:r/>
            <w:r>
              <w:rPr>
                <w:b/>
                <w:color w:val="FFFFFF"/>
                <w:sz w:val="18"/>
              </w:rPr>
              <w:t>C00–D49 (media±DE)</w:t>
            </w:r>
          </w:p>
        </w:tc>
        <w:tc>
          <w:tcPr>
            <w:tcW w:type="dxa" w:w="2606"/>
            <w:shd w:fill="006046"/>
          </w:tcPr>
          <w:p>
            <w:r/>
            <w:r>
              <w:rPr>
                <w:b/>
                <w:color w:val="FFFFFF"/>
                <w:sz w:val="18"/>
              </w:rPr>
              <w:t>C16.* (media±DE)</w:t>
            </w:r>
          </w:p>
        </w:tc>
        <w:tc>
          <w:tcPr>
            <w:tcW w:type="dxa" w:w="2606"/>
            <w:shd w:fill="006046"/>
          </w:tcPr>
          <w:p>
            <w:r/>
            <w:r>
              <w:rPr>
                <w:b/>
                <w:color w:val="FFFFFF"/>
                <w:sz w:val="18"/>
              </w:rPr>
              <w:t>C16.* (mediana, RIC)</w:t>
            </w:r>
          </w:p>
        </w:tc>
      </w:tr>
      <w:tr>
        <w:tc>
          <w:tcPr>
            <w:tcW w:type="dxa" w:w="2606"/>
          </w:tcPr>
          <w:p>
            <w:r/>
            <w:r>
              <w:rPr>
                <w:sz w:val="18"/>
              </w:rPr>
              <w:t>Edad (años)</w:t>
            </w:r>
          </w:p>
        </w:tc>
        <w:tc>
          <w:tcPr>
            <w:tcW w:type="dxa" w:w="2606"/>
          </w:tcPr>
          <w:p>
            <w:r/>
            <w:r>
              <w:rPr>
                <w:sz w:val="18"/>
              </w:rPr>
              <w:t>58.4 ± 16.2</w:t>
            </w:r>
          </w:p>
        </w:tc>
        <w:tc>
          <w:tcPr>
            <w:tcW w:type="dxa" w:w="2606"/>
          </w:tcPr>
          <w:p>
            <w:r/>
            <w:r>
              <w:rPr>
                <w:sz w:val="18"/>
              </w:rPr>
              <w:t>66.5 ± 12.0</w:t>
            </w:r>
          </w:p>
        </w:tc>
        <w:tc>
          <w:tcPr>
            <w:tcW w:type="dxa" w:w="2606"/>
          </w:tcPr>
          <w:p>
            <w:r/>
            <w:r>
              <w:rPr>
                <w:sz w:val="18"/>
              </w:rPr>
              <w:t>67 (58–76)</w:t>
            </w:r>
          </w:p>
        </w:tc>
      </w:tr>
      <w:tr>
        <w:tc>
          <w:tcPr>
            <w:tcW w:type="dxa" w:w="2606"/>
          </w:tcPr>
          <w:p>
            <w:r/>
            <w:r>
              <w:rPr>
                <w:sz w:val="18"/>
              </w:rPr>
              <w:t>Días de estadía</w:t>
            </w:r>
          </w:p>
        </w:tc>
        <w:tc>
          <w:tcPr>
            <w:tcW w:type="dxa" w:w="2606"/>
          </w:tcPr>
          <w:p>
            <w:r/>
            <w:r>
              <w:rPr>
                <w:sz w:val="18"/>
              </w:rPr>
              <w:t>5.8 ± 4.2</w:t>
            </w:r>
          </w:p>
        </w:tc>
        <w:tc>
          <w:tcPr>
            <w:tcW w:type="dxa" w:w="2606"/>
          </w:tcPr>
          <w:p>
            <w:r/>
            <w:r>
              <w:rPr>
                <w:sz w:val="18"/>
              </w:rPr>
              <w:t>8.3 ± 7.2</w:t>
            </w:r>
          </w:p>
        </w:tc>
        <w:tc>
          <w:tcPr>
            <w:tcW w:type="dxa" w:w="2606"/>
          </w:tcPr>
          <w:p>
            <w:r/>
            <w:r>
              <w:rPr>
                <w:sz w:val="18"/>
              </w:rPr>
              <w:t>5 (4–7)</w:t>
            </w:r>
          </w:p>
        </w:tc>
      </w:tr>
      <w:tr>
        <w:tc>
          <w:tcPr>
            <w:tcW w:type="dxa" w:w="2606"/>
          </w:tcPr>
          <w:p>
            <w:r/>
            <w:r>
              <w:rPr>
                <w:sz w:val="18"/>
              </w:rPr>
              <w:t>Cantidad de procedimientos</w:t>
            </w:r>
          </w:p>
        </w:tc>
        <w:tc>
          <w:tcPr>
            <w:tcW w:type="dxa" w:w="2606"/>
          </w:tcPr>
          <w:p>
            <w:r/>
            <w:r>
              <w:rPr>
                <w:sz w:val="18"/>
              </w:rPr>
              <w:t>2.4 ± 2.1</w:t>
            </w:r>
          </w:p>
        </w:tc>
        <w:tc>
          <w:tcPr>
            <w:tcW w:type="dxa" w:w="2606"/>
          </w:tcPr>
          <w:p>
            <w:r/>
            <w:r>
              <w:rPr>
                <w:sz w:val="18"/>
              </w:rPr>
              <w:t>8.82 ± 6.47</w:t>
            </w:r>
          </w:p>
        </w:tc>
        <w:tc>
          <w:tcPr>
            <w:tcW w:type="dxa" w:w="2606"/>
          </w:tcPr>
          <w:p>
            <w:r/>
            <w:r>
              <w:rPr>
                <w:sz w:val="18"/>
              </w:rPr>
              <w:t>8 (4–12)</w:t>
            </w:r>
          </w:p>
        </w:tc>
      </w:tr>
      <w:tr>
        <w:tc>
          <w:tcPr>
            <w:tcW w:type="dxa" w:w="2606"/>
          </w:tcPr>
          <w:p>
            <w:r/>
            <w:r>
              <w:rPr>
                <w:sz w:val="18"/>
              </w:rPr>
              <w:t>Severidad GRD</w:t>
            </w:r>
          </w:p>
        </w:tc>
        <w:tc>
          <w:tcPr>
            <w:tcW w:type="dxa" w:w="2606"/>
          </w:tcPr>
          <w:p>
            <w:r/>
            <w:r>
              <w:rPr>
                <w:sz w:val="18"/>
              </w:rPr>
              <w:t>2.1 ± 0.8</w:t>
            </w:r>
          </w:p>
        </w:tc>
        <w:tc>
          <w:tcPr>
            <w:tcW w:type="dxa" w:w="2606"/>
          </w:tcPr>
          <w:p>
            <w:r/>
            <w:r>
              <w:rPr>
                <w:sz w:val="18"/>
              </w:rPr>
              <w:t>1.56 ± 0.99</w:t>
            </w:r>
          </w:p>
        </w:tc>
        <w:tc>
          <w:tcPr>
            <w:tcW w:type="dxa" w:w="2606"/>
          </w:tcPr>
          <w:p>
            <w:r/>
            <w:r>
              <w:rPr>
                <w:sz w:val="18"/>
              </w:rPr>
              <w:t>1 (1–2)</w:t>
            </w:r>
          </w:p>
        </w:tc>
      </w:tr>
      <w:tr>
        <w:tc>
          <w:tcPr>
            <w:tcW w:type="dxa" w:w="2606"/>
          </w:tcPr>
          <w:p>
            <w:r/>
            <w:r>
              <w:rPr>
                <w:sz w:val="18"/>
              </w:rPr>
              <w:t>Peso GRD</w:t>
            </w:r>
          </w:p>
        </w:tc>
        <w:tc>
          <w:tcPr>
            <w:tcW w:type="dxa" w:w="2606"/>
          </w:tcPr>
          <w:p>
            <w:r/>
            <w:r>
              <w:rPr>
                <w:sz w:val="18"/>
              </w:rPr>
              <w:t>1.85 ± 0.72</w:t>
            </w:r>
          </w:p>
        </w:tc>
        <w:tc>
          <w:tcPr>
            <w:tcW w:type="dxa" w:w="2606"/>
          </w:tcPr>
          <w:p>
            <w:r/>
            <w:r>
              <w:rPr>
                <w:sz w:val="18"/>
              </w:rPr>
              <w:t>1.20 ± 0.81</w:t>
            </w:r>
          </w:p>
        </w:tc>
        <w:tc>
          <w:tcPr>
            <w:tcW w:type="dxa" w:w="2606"/>
          </w:tcPr>
          <w:p>
            <w:r/>
            <w:r>
              <w:rPr>
                <w:sz w:val="18"/>
              </w:rPr>
              <w:t>1.0 (0.6–1.7)</w:t>
            </w:r>
          </w:p>
        </w:tc>
      </w:tr>
      <w:tr>
        <w:tc>
          <w:tcPr>
            <w:tcW w:type="dxa" w:w="2606"/>
          </w:tcPr>
          <w:p>
            <w:r/>
            <w:r>
              <w:rPr>
                <w:sz w:val="18"/>
              </w:rPr>
              <w:t>Comorbilidad (conteo)</w:t>
            </w:r>
          </w:p>
        </w:tc>
        <w:tc>
          <w:tcPr>
            <w:tcW w:type="dxa" w:w="2606"/>
          </w:tcPr>
          <w:p>
            <w:r/>
            <w:r>
              <w:rPr>
                <w:sz w:val="18"/>
              </w:rPr>
              <w:t>1.2 ± 1.4</w:t>
            </w:r>
          </w:p>
        </w:tc>
        <w:tc>
          <w:tcPr>
            <w:tcW w:type="dxa" w:w="2606"/>
          </w:tcPr>
          <w:p>
            <w:r/>
            <w:r>
              <w:rPr>
                <w:sz w:val="18"/>
              </w:rPr>
              <w:t>4.37 ± 3.72</w:t>
            </w:r>
          </w:p>
        </w:tc>
        <w:tc>
          <w:tcPr>
            <w:tcW w:type="dxa" w:w="2606"/>
          </w:tcPr>
          <w:p>
            <w:r/>
            <w:r>
              <w:rPr>
                <w:sz w:val="18"/>
              </w:rPr>
              <w:t>3 (1–7)</w:t>
            </w:r>
          </w:p>
        </w:tc>
      </w:tr>
      <w:tr>
        <w:tc>
          <w:tcPr>
            <w:tcW w:type="dxa" w:w="2606"/>
          </w:tcPr>
          <w:p>
            <w:r/>
            <w:r>
              <w:rPr>
                <w:sz w:val="18"/>
              </w:rPr>
              <w:t>Mort. intrahospitalaria (%)</w:t>
            </w:r>
          </w:p>
        </w:tc>
        <w:tc>
          <w:tcPr>
            <w:tcW w:type="dxa" w:w="2606"/>
          </w:tcPr>
          <w:p>
            <w:r/>
            <w:r>
              <w:rPr>
                <w:sz w:val="18"/>
              </w:rPr>
              <w:t>2.8</w:t>
            </w:r>
          </w:p>
        </w:tc>
        <w:tc>
          <w:tcPr>
            <w:tcW w:type="dxa" w:w="2606"/>
          </w:tcPr>
          <w:p>
            <w:r/>
            <w:r>
              <w:rPr>
                <w:sz w:val="18"/>
              </w:rPr>
              <w:t>5.56</w:t>
            </w:r>
          </w:p>
        </w:tc>
        <w:tc>
          <w:tcPr>
            <w:tcW w:type="dxa" w:w="2606"/>
          </w:tcPr>
          <w:p>
            <w:r/>
            <w:r>
              <w:rPr>
                <w:sz w:val="18"/>
              </w:rPr>
              <w:t>—</w:t>
            </w:r>
          </w:p>
        </w:tc>
      </w:tr>
    </w:tbl>
    <w:p/>
    <w:p>
      <w:pPr>
        <w:spacing w:after="120"/>
        <w:jc w:val="both"/>
      </w:pPr>
      <w:r>
        <w:rPr>
          <w:rFonts w:ascii="Times New Roman" w:hAnsi="Times New Roman"/>
          <w:i/>
          <w:sz w:val="18"/>
        </w:rPr>
        <w:t>Comparación descriptiva entre el universo oncológico completo (C00–D49) y el subconjunto focal de cáncer gástrico (C16.*). El subconjunto C16.* presenta mayor edad, mayor estadía, más procedimientos y mayor mortalidad, consistente con un perfil de mayor severidad clínica.</w:t>
      </w:r>
    </w:p>
    <w:p>
      <w:pPr>
        <w:pStyle w:val="Heading2"/>
        <w:spacing w:after="80"/>
      </w:pPr>
      <w:r>
        <w:rPr>
          <w:b/>
          <w:i/>
          <w:color w:val="006046"/>
          <w:sz w:val="20"/>
        </w:rPr>
        <w:t>Anexo B. Modelo logístico completo (efectos fijos por hospital)</w:t>
      </w:r>
    </w:p>
    <w:p>
      <w:pPr>
        <w:spacing w:after="120"/>
        <w:jc w:val="both"/>
      </w:pPr>
      <w:r>
        <w:rPr>
          <w:rFonts w:ascii="Times New Roman" w:hAnsi="Times New Roman"/>
          <w:sz w:val="20"/>
        </w:rPr>
        <w:t>El modelo logístico multivariable incluyó 14 variables dummy para los hospitales (referencia: hospital con mayor volumen). La tabla completa de odds ratios, intervalos de confianza y valores p para todos los efectos fijos está disponible en el notebook del proyecto (celda 72). A continuación se presenta el resumen de los predictores principales:</w:t>
      </w:r>
    </w:p>
    <w:tbl>
      <w:tblPr>
        <w:tblStyle w:val="TableGrid"/>
        <w:tblW w:type="auto" w:w="0"/>
        <w:tblLook w:firstColumn="1" w:firstRow="1" w:lastColumn="0" w:lastRow="0" w:noHBand="0" w:noVBand="1" w:val="04A0"/>
      </w:tblPr>
      <w:tblGrid>
        <w:gridCol w:w="2085"/>
        <w:gridCol w:w="2085"/>
        <w:gridCol w:w="2085"/>
        <w:gridCol w:w="2085"/>
        <w:gridCol w:w="2085"/>
      </w:tblGrid>
      <w:tr>
        <w:tc>
          <w:tcPr>
            <w:tcW w:type="dxa" w:w="2085"/>
            <w:shd w:fill="006046"/>
          </w:tcPr>
          <w:p>
            <w:r/>
            <w:r>
              <w:rPr>
                <w:b/>
                <w:color w:val="FFFFFF"/>
                <w:sz w:val="18"/>
              </w:rPr>
              <w:t>Predictor</w:t>
            </w:r>
          </w:p>
        </w:tc>
        <w:tc>
          <w:tcPr>
            <w:tcW w:type="dxa" w:w="2085"/>
            <w:shd w:fill="006046"/>
          </w:tcPr>
          <w:p>
            <w:r/>
            <w:r>
              <w:rPr>
                <w:b/>
                <w:color w:val="FFFFFF"/>
                <w:sz w:val="18"/>
              </w:rPr>
              <w:t>OR</w:t>
            </w:r>
          </w:p>
        </w:tc>
        <w:tc>
          <w:tcPr>
            <w:tcW w:type="dxa" w:w="2085"/>
            <w:shd w:fill="006046"/>
          </w:tcPr>
          <w:p>
            <w:r/>
            <w:r>
              <w:rPr>
                <w:b/>
                <w:color w:val="FFFFFF"/>
                <w:sz w:val="18"/>
              </w:rPr>
              <w:t>IC 95%</w:t>
            </w:r>
          </w:p>
        </w:tc>
        <w:tc>
          <w:tcPr>
            <w:tcW w:type="dxa" w:w="2085"/>
            <w:shd w:fill="006046"/>
          </w:tcPr>
          <w:p>
            <w:r/>
            <w:r>
              <w:rPr>
                <w:b/>
                <w:color w:val="FFFFFF"/>
                <w:sz w:val="18"/>
              </w:rPr>
              <w:t>p</w:t>
            </w:r>
          </w:p>
        </w:tc>
        <w:tc>
          <w:tcPr>
            <w:tcW w:type="dxa" w:w="2085"/>
            <w:shd w:fill="006046"/>
          </w:tcPr>
          <w:p>
            <w:r/>
            <w:r>
              <w:rPr>
                <w:b/>
                <w:color w:val="FFFFFF"/>
                <w:sz w:val="18"/>
              </w:rPr>
              <w:t>Signif.</w:t>
            </w:r>
          </w:p>
        </w:tc>
      </w:tr>
      <w:tr>
        <w:tc>
          <w:tcPr>
            <w:tcW w:type="dxa" w:w="2085"/>
          </w:tcPr>
          <w:p>
            <w:r/>
            <w:r>
              <w:rPr>
                <w:sz w:val="18"/>
              </w:rPr>
              <w:t>Procedimientos (por unidad)</w:t>
            </w:r>
          </w:p>
        </w:tc>
        <w:tc>
          <w:tcPr>
            <w:tcW w:type="dxa" w:w="2085"/>
          </w:tcPr>
          <w:p>
            <w:r/>
            <w:r>
              <w:rPr>
                <w:sz w:val="18"/>
              </w:rPr>
              <w:t>1.053</w:t>
            </w:r>
          </w:p>
        </w:tc>
        <w:tc>
          <w:tcPr>
            <w:tcW w:type="dxa" w:w="2085"/>
          </w:tcPr>
          <w:p>
            <w:r/>
            <w:r>
              <w:rPr>
                <w:sz w:val="18"/>
              </w:rPr>
              <w:t>1.030–1.076</w:t>
            </w:r>
          </w:p>
        </w:tc>
        <w:tc>
          <w:tcPr>
            <w:tcW w:type="dxa" w:w="2085"/>
          </w:tcPr>
          <w:p>
            <w:r/>
            <w:r>
              <w:rPr>
                <w:sz w:val="18"/>
              </w:rPr>
              <w:t>&lt;0.001</w:t>
            </w:r>
          </w:p>
        </w:tc>
        <w:tc>
          <w:tcPr>
            <w:tcW w:type="dxa" w:w="2085"/>
          </w:tcPr>
          <w:p>
            <w:r/>
            <w:r>
              <w:rPr>
                <w:sz w:val="18"/>
              </w:rPr>
              <w:t>***</w:t>
            </w:r>
          </w:p>
        </w:tc>
      </w:tr>
      <w:tr>
        <w:tc>
          <w:tcPr>
            <w:tcW w:type="dxa" w:w="2085"/>
          </w:tcPr>
          <w:p>
            <w:r/>
            <w:r>
              <w:rPr>
                <w:sz w:val="18"/>
              </w:rPr>
              <w:t>Edad (por año)</w:t>
            </w:r>
          </w:p>
        </w:tc>
        <w:tc>
          <w:tcPr>
            <w:tcW w:type="dxa" w:w="2085"/>
          </w:tcPr>
          <w:p>
            <w:r/>
            <w:r>
              <w:rPr>
                <w:sz w:val="18"/>
              </w:rPr>
              <w:t>0.999</w:t>
            </w:r>
          </w:p>
        </w:tc>
        <w:tc>
          <w:tcPr>
            <w:tcW w:type="dxa" w:w="2085"/>
          </w:tcPr>
          <w:p>
            <w:r/>
            <w:r>
              <w:rPr>
                <w:sz w:val="18"/>
              </w:rPr>
              <w:t>0.994–1.004</w:t>
            </w:r>
          </w:p>
        </w:tc>
        <w:tc>
          <w:tcPr>
            <w:tcW w:type="dxa" w:w="2085"/>
          </w:tcPr>
          <w:p>
            <w:r/>
            <w:r>
              <w:rPr>
                <w:sz w:val="18"/>
              </w:rPr>
              <w:t>0.780</w:t>
            </w:r>
          </w:p>
        </w:tc>
        <w:tc>
          <w:tcPr>
            <w:tcW w:type="dxa" w:w="2085"/>
          </w:tcPr>
          <w:p>
            <w:r/>
            <w:r>
              <w:rPr>
                <w:sz w:val="18"/>
              </w:rPr>
              <w:t>ns</w:t>
            </w:r>
          </w:p>
        </w:tc>
      </w:tr>
      <w:tr>
        <w:tc>
          <w:tcPr>
            <w:tcW w:type="dxa" w:w="2085"/>
          </w:tcPr>
          <w:p>
            <w:r/>
            <w:r>
              <w:rPr>
                <w:sz w:val="18"/>
              </w:rPr>
              <w:t>Severidad GRD (por nivel)</w:t>
            </w:r>
          </w:p>
        </w:tc>
        <w:tc>
          <w:tcPr>
            <w:tcW w:type="dxa" w:w="2085"/>
          </w:tcPr>
          <w:p>
            <w:r/>
            <w:r>
              <w:rPr>
                <w:sz w:val="18"/>
              </w:rPr>
              <w:t>5.973</w:t>
            </w:r>
          </w:p>
        </w:tc>
        <w:tc>
          <w:tcPr>
            <w:tcW w:type="dxa" w:w="2085"/>
          </w:tcPr>
          <w:p>
            <w:r/>
            <w:r>
              <w:rPr>
                <w:sz w:val="18"/>
              </w:rPr>
              <w:t>4.811–7.415</w:t>
            </w:r>
          </w:p>
        </w:tc>
        <w:tc>
          <w:tcPr>
            <w:tcW w:type="dxa" w:w="2085"/>
          </w:tcPr>
          <w:p>
            <w:r/>
            <w:r>
              <w:rPr>
                <w:sz w:val="18"/>
              </w:rPr>
              <w:t>&lt;0.001</w:t>
            </w:r>
          </w:p>
        </w:tc>
        <w:tc>
          <w:tcPr>
            <w:tcW w:type="dxa" w:w="2085"/>
          </w:tcPr>
          <w:p>
            <w:r/>
            <w:r>
              <w:rPr>
                <w:sz w:val="18"/>
              </w:rPr>
              <w:t>***</w:t>
            </w:r>
          </w:p>
        </w:tc>
      </w:tr>
      <w:tr>
        <w:tc>
          <w:tcPr>
            <w:tcW w:type="dxa" w:w="2085"/>
          </w:tcPr>
          <w:p>
            <w:r/>
            <w:r>
              <w:rPr>
                <w:sz w:val="18"/>
              </w:rPr>
              <w:t>Peso GRD (por unidad)</w:t>
            </w:r>
          </w:p>
        </w:tc>
        <w:tc>
          <w:tcPr>
            <w:tcW w:type="dxa" w:w="2085"/>
          </w:tcPr>
          <w:p>
            <w:r/>
            <w:r>
              <w:rPr>
                <w:sz w:val="18"/>
              </w:rPr>
              <w:t>0.693</w:t>
            </w:r>
          </w:p>
        </w:tc>
        <w:tc>
          <w:tcPr>
            <w:tcW w:type="dxa" w:w="2085"/>
          </w:tcPr>
          <w:p>
            <w:r/>
            <w:r>
              <w:rPr>
                <w:sz w:val="18"/>
              </w:rPr>
              <w:t>0.597–0.805</w:t>
            </w:r>
          </w:p>
        </w:tc>
        <w:tc>
          <w:tcPr>
            <w:tcW w:type="dxa" w:w="2085"/>
          </w:tcPr>
          <w:p>
            <w:r/>
            <w:r>
              <w:rPr>
                <w:sz w:val="18"/>
              </w:rPr>
              <w:t>&lt;0.001</w:t>
            </w:r>
          </w:p>
        </w:tc>
        <w:tc>
          <w:tcPr>
            <w:tcW w:type="dxa" w:w="2085"/>
          </w:tcPr>
          <w:p>
            <w:r/>
            <w:r>
              <w:rPr>
                <w:sz w:val="18"/>
              </w:rPr>
              <w:t>***</w:t>
            </w:r>
          </w:p>
        </w:tc>
      </w:tr>
      <w:tr>
        <w:tc>
          <w:tcPr>
            <w:tcW w:type="dxa" w:w="2085"/>
          </w:tcPr>
          <w:p>
            <w:r/>
            <w:r>
              <w:rPr>
                <w:sz w:val="18"/>
              </w:rPr>
              <w:t>Comorbilidad (por conteo)</w:t>
            </w:r>
          </w:p>
        </w:tc>
        <w:tc>
          <w:tcPr>
            <w:tcW w:type="dxa" w:w="2085"/>
          </w:tcPr>
          <w:p>
            <w:r/>
            <w:r>
              <w:rPr>
                <w:sz w:val="18"/>
              </w:rPr>
              <w:t>1.064</w:t>
            </w:r>
          </w:p>
        </w:tc>
        <w:tc>
          <w:tcPr>
            <w:tcW w:type="dxa" w:w="2085"/>
          </w:tcPr>
          <w:p>
            <w:r/>
            <w:r>
              <w:rPr>
                <w:sz w:val="18"/>
              </w:rPr>
              <w:t>1.027–1.102</w:t>
            </w:r>
          </w:p>
        </w:tc>
        <w:tc>
          <w:tcPr>
            <w:tcW w:type="dxa" w:w="2085"/>
          </w:tcPr>
          <w:p>
            <w:r/>
            <w:r>
              <w:rPr>
                <w:sz w:val="18"/>
              </w:rPr>
              <w:t>&lt;0.001</w:t>
            </w:r>
          </w:p>
        </w:tc>
        <w:tc>
          <w:tcPr>
            <w:tcW w:type="dxa" w:w="2085"/>
          </w:tcPr>
          <w:p>
            <w:r/>
            <w:r>
              <w:rPr>
                <w:sz w:val="18"/>
              </w:rPr>
              <w:t>***</w:t>
            </w:r>
          </w:p>
        </w:tc>
      </w:tr>
      <w:tr>
        <w:tc>
          <w:tcPr>
            <w:tcW w:type="dxa" w:w="2085"/>
          </w:tcPr>
          <w:p>
            <w:r/>
            <w:r>
              <w:rPr>
                <w:sz w:val="18"/>
              </w:rPr>
              <w:t>Hospital (14 dummies)</w:t>
            </w:r>
          </w:p>
        </w:tc>
        <w:tc>
          <w:tcPr>
            <w:tcW w:type="dxa" w:w="2085"/>
          </w:tcPr>
          <w:p>
            <w:r/>
            <w:r>
              <w:rPr>
                <w:sz w:val="18"/>
              </w:rPr>
              <w:t>—</w:t>
            </w:r>
          </w:p>
        </w:tc>
        <w:tc>
          <w:tcPr>
            <w:tcW w:type="dxa" w:w="2085"/>
          </w:tcPr>
          <w:p>
            <w:r/>
            <w:r>
              <w:rPr>
                <w:sz w:val="18"/>
              </w:rPr>
              <w:t>—</w:t>
            </w:r>
          </w:p>
        </w:tc>
        <w:tc>
          <w:tcPr>
            <w:tcW w:type="dxa" w:w="2085"/>
          </w:tcPr>
          <w:p>
            <w:r/>
            <w:r>
              <w:rPr>
                <w:sz w:val="18"/>
              </w:rPr>
              <w:t>—</w:t>
            </w:r>
          </w:p>
        </w:tc>
        <w:tc>
          <w:tcPr>
            <w:tcW w:type="dxa" w:w="2085"/>
          </w:tcPr>
          <w:p>
            <w:r/>
            <w:r>
              <w:rPr>
                <w:sz w:val="18"/>
              </w:rPr>
              <w:t>incluidos</w:t>
            </w:r>
          </w:p>
        </w:tc>
      </w:tr>
    </w:tbl>
    <w:p/>
    <w:p>
      <w:pPr>
        <w:spacing w:after="120"/>
        <w:jc w:val="both"/>
      </w:pPr>
      <w:r>
        <w:rPr>
          <w:rFonts w:ascii="Times New Roman" w:hAnsi="Times New Roman"/>
          <w:i/>
          <w:sz w:val="18"/>
        </w:rPr>
        <w:t>OR = odds ratio; IC = intervalo de confianza; Signif.: *** p &lt; 0.001, * p &lt; 0.05, ns no significativo. Los coeficientes completos de los 14 hospitales se encuentran en el notebook del proyecto.</w:t>
      </w:r>
    </w:p>
    <w:p>
      <w:pPr>
        <w:pStyle w:val="Heading2"/>
        <w:spacing w:after="80"/>
      </w:pPr>
      <w:r>
        <w:rPr>
          <w:b/>
          <w:i/>
          <w:color w:val="006046"/>
          <w:sz w:val="20"/>
        </w:rPr>
        <w:t>Anexo C. Modelo OLS completo (efectos fijos por hospital)</w:t>
      </w:r>
    </w:p>
    <w:p>
      <w:pPr>
        <w:spacing w:after="120"/>
        <w:jc w:val="both"/>
      </w:pPr>
      <w:r>
        <w:rPr>
          <w:rFonts w:ascii="Times New Roman" w:hAnsi="Times New Roman"/>
          <w:sz w:val="20"/>
        </w:rPr>
        <w:t>El modelo OLS para log(1 + estadía) incluyó 14 variables dummy para los hospitales. La tabla completa de coeficientes, errores estándar robustos HC3 e intervalos de confianza para todos los efectos fijos está disponible en el notebook del proyecto (celda 82). A continuación se presenta el resumen de los predictores principales:</w:t>
      </w:r>
    </w:p>
    <w:tbl>
      <w:tblPr>
        <w:tblStyle w:val="TableGrid"/>
        <w:tblW w:type="auto" w:w="0"/>
        <w:tblLook w:firstColumn="1" w:firstRow="1" w:lastColumn="0" w:lastRow="0" w:noHBand="0" w:noVBand="1" w:val="04A0"/>
      </w:tblPr>
      <w:tblGrid>
        <w:gridCol w:w="2085"/>
        <w:gridCol w:w="2085"/>
        <w:gridCol w:w="2085"/>
        <w:gridCol w:w="2085"/>
        <w:gridCol w:w="2085"/>
      </w:tblGrid>
      <w:tr>
        <w:tc>
          <w:tcPr>
            <w:tcW w:type="dxa" w:w="2085"/>
            <w:shd w:fill="006046"/>
          </w:tcPr>
          <w:p>
            <w:r/>
            <w:r>
              <w:rPr>
                <w:b/>
                <w:color w:val="FFFFFF"/>
                <w:sz w:val="18"/>
              </w:rPr>
              <w:t>Predictor</w:t>
            </w:r>
          </w:p>
        </w:tc>
        <w:tc>
          <w:tcPr>
            <w:tcW w:type="dxa" w:w="2085"/>
            <w:shd w:fill="006046"/>
          </w:tcPr>
          <w:p>
            <w:r/>
            <w:r>
              <w:rPr>
                <w:b/>
                <w:color w:val="FFFFFF"/>
                <w:sz w:val="18"/>
              </w:rPr>
              <w:t>β</w:t>
            </w:r>
          </w:p>
        </w:tc>
        <w:tc>
          <w:tcPr>
            <w:tcW w:type="dxa" w:w="2085"/>
            <w:shd w:fill="006046"/>
          </w:tcPr>
          <w:p>
            <w:r/>
            <w:r>
              <w:rPr>
                <w:b/>
                <w:color w:val="FFFFFF"/>
                <w:sz w:val="18"/>
              </w:rPr>
              <w:t>SE HC3</w:t>
            </w:r>
          </w:p>
        </w:tc>
        <w:tc>
          <w:tcPr>
            <w:tcW w:type="dxa" w:w="2085"/>
            <w:shd w:fill="006046"/>
          </w:tcPr>
          <w:p>
            <w:r/>
            <w:r>
              <w:rPr>
                <w:b/>
                <w:color w:val="FFFFFF"/>
                <w:sz w:val="18"/>
              </w:rPr>
              <w:t>IC 95%</w:t>
            </w:r>
          </w:p>
        </w:tc>
        <w:tc>
          <w:tcPr>
            <w:tcW w:type="dxa" w:w="2085"/>
            <w:shd w:fill="006046"/>
          </w:tcPr>
          <w:p>
            <w:r/>
            <w:r>
              <w:rPr>
                <w:b/>
                <w:color w:val="FFFFFF"/>
                <w:sz w:val="18"/>
              </w:rPr>
              <w:t>Δ%</w:t>
            </w:r>
          </w:p>
        </w:tc>
      </w:tr>
      <w:tr>
        <w:tc>
          <w:tcPr>
            <w:tcW w:type="dxa" w:w="2085"/>
          </w:tcPr>
          <w:p>
            <w:r/>
            <w:r>
              <w:rPr>
                <w:sz w:val="18"/>
              </w:rPr>
              <w:t>Procedimientos (por unidad)</w:t>
            </w:r>
          </w:p>
        </w:tc>
        <w:tc>
          <w:tcPr>
            <w:tcW w:type="dxa" w:w="2085"/>
          </w:tcPr>
          <w:p>
            <w:r/>
            <w:r>
              <w:rPr>
                <w:sz w:val="18"/>
              </w:rPr>
              <w:t>0.093</w:t>
            </w:r>
          </w:p>
        </w:tc>
        <w:tc>
          <w:tcPr>
            <w:tcW w:type="dxa" w:w="2085"/>
          </w:tcPr>
          <w:p>
            <w:r/>
            <w:r>
              <w:rPr>
                <w:sz w:val="18"/>
              </w:rPr>
              <w:t>0.004</w:t>
            </w:r>
          </w:p>
        </w:tc>
        <w:tc>
          <w:tcPr>
            <w:tcW w:type="dxa" w:w="2085"/>
          </w:tcPr>
          <w:p>
            <w:r/>
            <w:r>
              <w:rPr>
                <w:sz w:val="18"/>
              </w:rPr>
              <w:t>0.085–0.101</w:t>
            </w:r>
          </w:p>
        </w:tc>
        <w:tc>
          <w:tcPr>
            <w:tcW w:type="dxa" w:w="2085"/>
          </w:tcPr>
          <w:p>
            <w:r/>
            <w:r>
              <w:rPr>
                <w:sz w:val="18"/>
              </w:rPr>
              <w:t>+9.7</w:t>
            </w:r>
          </w:p>
        </w:tc>
      </w:tr>
      <w:tr>
        <w:tc>
          <w:tcPr>
            <w:tcW w:type="dxa" w:w="2085"/>
          </w:tcPr>
          <w:p>
            <w:r/>
            <w:r>
              <w:rPr>
                <w:sz w:val="18"/>
              </w:rPr>
              <w:t>Edad (por año)</w:t>
            </w:r>
          </w:p>
        </w:tc>
        <w:tc>
          <w:tcPr>
            <w:tcW w:type="dxa" w:w="2085"/>
          </w:tcPr>
          <w:p>
            <w:r/>
            <w:r>
              <w:rPr>
                <w:sz w:val="18"/>
              </w:rPr>
              <w:t>0.002</w:t>
            </w:r>
          </w:p>
        </w:tc>
        <w:tc>
          <w:tcPr>
            <w:tcW w:type="dxa" w:w="2085"/>
          </w:tcPr>
          <w:p>
            <w:r/>
            <w:r>
              <w:rPr>
                <w:sz w:val="18"/>
              </w:rPr>
              <w:t>0.001</w:t>
            </w:r>
          </w:p>
        </w:tc>
        <w:tc>
          <w:tcPr>
            <w:tcW w:type="dxa" w:w="2085"/>
          </w:tcPr>
          <w:p>
            <w:r/>
            <w:r>
              <w:rPr>
                <w:sz w:val="18"/>
              </w:rPr>
              <w:t>0.000–0.004</w:t>
            </w:r>
          </w:p>
        </w:tc>
        <w:tc>
          <w:tcPr>
            <w:tcW w:type="dxa" w:w="2085"/>
          </w:tcPr>
          <w:p>
            <w:r/>
            <w:r>
              <w:rPr>
                <w:sz w:val="18"/>
              </w:rPr>
              <w:t>+0.2</w:t>
            </w:r>
          </w:p>
        </w:tc>
      </w:tr>
      <w:tr>
        <w:tc>
          <w:tcPr>
            <w:tcW w:type="dxa" w:w="2085"/>
          </w:tcPr>
          <w:p>
            <w:r/>
            <w:r>
              <w:rPr>
                <w:sz w:val="18"/>
              </w:rPr>
              <w:t>Severidad GRD (por nivel)</w:t>
            </w:r>
          </w:p>
        </w:tc>
        <w:tc>
          <w:tcPr>
            <w:tcW w:type="dxa" w:w="2085"/>
          </w:tcPr>
          <w:p>
            <w:r/>
            <w:r>
              <w:rPr>
                <w:sz w:val="18"/>
              </w:rPr>
              <w:t>0.360</w:t>
            </w:r>
          </w:p>
        </w:tc>
        <w:tc>
          <w:tcPr>
            <w:tcW w:type="dxa" w:w="2085"/>
          </w:tcPr>
          <w:p>
            <w:r/>
            <w:r>
              <w:rPr>
                <w:sz w:val="18"/>
              </w:rPr>
              <w:t>0.011</w:t>
            </w:r>
          </w:p>
        </w:tc>
        <w:tc>
          <w:tcPr>
            <w:tcW w:type="dxa" w:w="2085"/>
          </w:tcPr>
          <w:p>
            <w:r/>
            <w:r>
              <w:rPr>
                <w:sz w:val="18"/>
              </w:rPr>
              <w:t>0.338–0.382</w:t>
            </w:r>
          </w:p>
        </w:tc>
        <w:tc>
          <w:tcPr>
            <w:tcW w:type="dxa" w:w="2085"/>
          </w:tcPr>
          <w:p>
            <w:r/>
            <w:r>
              <w:rPr>
                <w:sz w:val="18"/>
              </w:rPr>
              <w:t>+43.4</w:t>
            </w:r>
          </w:p>
        </w:tc>
      </w:tr>
      <w:tr>
        <w:tc>
          <w:tcPr>
            <w:tcW w:type="dxa" w:w="2085"/>
          </w:tcPr>
          <w:p>
            <w:r/>
            <w:r>
              <w:rPr>
                <w:sz w:val="18"/>
              </w:rPr>
              <w:t>Peso GRD (por unidad)</w:t>
            </w:r>
          </w:p>
        </w:tc>
        <w:tc>
          <w:tcPr>
            <w:tcW w:type="dxa" w:w="2085"/>
          </w:tcPr>
          <w:p>
            <w:r/>
            <w:r>
              <w:rPr>
                <w:sz w:val="18"/>
              </w:rPr>
              <w:t>0.001</w:t>
            </w:r>
          </w:p>
        </w:tc>
        <w:tc>
          <w:tcPr>
            <w:tcW w:type="dxa" w:w="2085"/>
          </w:tcPr>
          <w:p>
            <w:r/>
            <w:r>
              <w:rPr>
                <w:sz w:val="18"/>
              </w:rPr>
              <w:t>0.013</w:t>
            </w:r>
          </w:p>
        </w:tc>
        <w:tc>
          <w:tcPr>
            <w:tcW w:type="dxa" w:w="2085"/>
          </w:tcPr>
          <w:p>
            <w:r/>
            <w:r>
              <w:rPr>
                <w:sz w:val="18"/>
              </w:rPr>
              <w:t>-0.024–0.026</w:t>
            </w:r>
          </w:p>
        </w:tc>
        <w:tc>
          <w:tcPr>
            <w:tcW w:type="dxa" w:w="2085"/>
          </w:tcPr>
          <w:p>
            <w:r/>
            <w:r>
              <w:rPr>
                <w:sz w:val="18"/>
              </w:rPr>
              <w:t>+0.1 (ns)</w:t>
            </w:r>
          </w:p>
        </w:tc>
      </w:tr>
      <w:tr>
        <w:tc>
          <w:tcPr>
            <w:tcW w:type="dxa" w:w="2085"/>
          </w:tcPr>
          <w:p>
            <w:r/>
            <w:r>
              <w:rPr>
                <w:sz w:val="18"/>
              </w:rPr>
              <w:t>Comorbilidad (por conteo)</w:t>
            </w:r>
          </w:p>
        </w:tc>
        <w:tc>
          <w:tcPr>
            <w:tcW w:type="dxa" w:w="2085"/>
          </w:tcPr>
          <w:p>
            <w:r/>
            <w:r>
              <w:rPr>
                <w:sz w:val="18"/>
              </w:rPr>
              <w:t>-0.032</w:t>
            </w:r>
          </w:p>
        </w:tc>
        <w:tc>
          <w:tcPr>
            <w:tcW w:type="dxa" w:w="2085"/>
          </w:tcPr>
          <w:p>
            <w:r/>
            <w:r>
              <w:rPr>
                <w:sz w:val="18"/>
              </w:rPr>
              <w:t>0.006</w:t>
            </w:r>
          </w:p>
        </w:tc>
        <w:tc>
          <w:tcPr>
            <w:tcW w:type="dxa" w:w="2085"/>
          </w:tcPr>
          <w:p>
            <w:r/>
            <w:r>
              <w:rPr>
                <w:sz w:val="18"/>
              </w:rPr>
              <w:t>-0.044 a -0.021</w:t>
            </w:r>
          </w:p>
        </w:tc>
        <w:tc>
          <w:tcPr>
            <w:tcW w:type="dxa" w:w="2085"/>
          </w:tcPr>
          <w:p>
            <w:r/>
            <w:r>
              <w:rPr>
                <w:sz w:val="18"/>
              </w:rPr>
              <w:t>-3.2</w:t>
            </w:r>
          </w:p>
        </w:tc>
      </w:tr>
      <w:tr>
        <w:tc>
          <w:tcPr>
            <w:tcW w:type="dxa" w:w="2085"/>
          </w:tcPr>
          <w:p>
            <w:r/>
            <w:r>
              <w:rPr>
                <w:sz w:val="18"/>
              </w:rPr>
              <w:t>Hospital (14 dummies)</w:t>
            </w:r>
          </w:p>
        </w:tc>
        <w:tc>
          <w:tcPr>
            <w:tcW w:type="dxa" w:w="2085"/>
          </w:tcPr>
          <w:p>
            <w:r/>
            <w:r>
              <w:rPr>
                <w:sz w:val="18"/>
              </w:rPr>
              <w:t>—</w:t>
            </w:r>
          </w:p>
        </w:tc>
        <w:tc>
          <w:tcPr>
            <w:tcW w:type="dxa" w:w="2085"/>
          </w:tcPr>
          <w:p>
            <w:r/>
            <w:r>
              <w:rPr>
                <w:sz w:val="18"/>
              </w:rPr>
              <w:t>—</w:t>
            </w:r>
          </w:p>
        </w:tc>
        <w:tc>
          <w:tcPr>
            <w:tcW w:type="dxa" w:w="2085"/>
          </w:tcPr>
          <w:p>
            <w:r/>
            <w:r>
              <w:rPr>
                <w:sz w:val="18"/>
              </w:rPr>
              <w:t>—</w:t>
            </w:r>
          </w:p>
        </w:tc>
        <w:tc>
          <w:tcPr>
            <w:tcW w:type="dxa" w:w="2085"/>
          </w:tcPr>
          <w:p>
            <w:r/>
            <w:r>
              <w:rPr>
                <w:sz w:val="18"/>
              </w:rPr>
              <w:t>incluidos</w:t>
            </w:r>
          </w:p>
        </w:tc>
      </w:tr>
    </w:tbl>
    <w:p/>
    <w:p>
      <w:pPr>
        <w:spacing w:after="120"/>
        <w:jc w:val="both"/>
      </w:pPr>
      <w:r>
        <w:rPr>
          <w:rFonts w:ascii="Times New Roman" w:hAnsi="Times New Roman"/>
          <w:i/>
          <w:sz w:val="18"/>
        </w:rPr>
        <w:t>β = coeficiente estimado; SE = error estándar robusto HC3; Δ% = cambio porcentual aproximado [(exp(β)−1)×100]. Los coeficientes completos de los 14 hospitales se encuentran en el notebook del proyecto.</w:t>
      </w:r>
    </w:p>
    <w:p>
      <w:pPr>
        <w:pStyle w:val="Heading2"/>
        <w:spacing w:after="80"/>
      </w:pPr>
      <w:r>
        <w:rPr>
          <w:b/>
          <w:i/>
          <w:color w:val="006046"/>
          <w:sz w:val="20"/>
        </w:rPr>
        <w:t>Anexo D. Comparaciones post-hoc Dunn-Bonferroni</w:t>
      </w:r>
    </w:p>
    <w:p>
      <w:pPr>
        <w:spacing w:after="120"/>
        <w:jc w:val="both"/>
      </w:pPr>
      <w:r>
        <w:rPr>
          <w:rFonts w:ascii="Times New Roman" w:hAnsi="Times New Roman"/>
          <w:sz w:val="20"/>
        </w:rPr>
        <w:t>El test de Dunn-Bonferroni evaluó las diferencias pairwise entre los 25 hospitales de mayor volumen. De un total de 300 comparaciones posibles (25×24/2), el 63.0% (189/300) mostró diferencias significativas (p &lt; 0.05) después de corrección de Bonferroni. La tabla completa de comparaciones (hospital A vs. hospital B, estadística Z, p ajustado) está disponible en el notebook del proyecto (celda 67).</w:t>
      </w:r>
    </w:p>
    <w:p>
      <w:pPr>
        <w:pStyle w:val="Heading2"/>
        <w:spacing w:after="80"/>
      </w:pPr>
      <w:r>
        <w:rPr>
          <w:b/>
          <w:i/>
          <w:color w:val="006046"/>
          <w:sz w:val="20"/>
        </w:rPr>
        <w:t>Anexo E. Centroides de clusters K-means (escala original)</w:t>
      </w:r>
    </w:p>
    <w:p>
      <w:pPr>
        <w:spacing w:after="120"/>
        <w:jc w:val="both"/>
      </w:pPr>
      <w:r>
        <w:rPr>
          <w:rFonts w:ascii="Times New Roman" w:hAnsi="Times New Roman"/>
          <w:sz w:val="20"/>
        </w:rPr>
        <w:t>Centroides de los 2 clusters identificados por K-means en las variables estandarizadas (z-score): mortalidad (%), estadía media (días), tasa de urgencia (%), cantidad de procedimientos medio y edad media (años).</w:t>
      </w:r>
    </w:p>
    <w:tbl>
      <w:tblPr>
        <w:tblStyle w:val="TableGrid"/>
        <w:tblW w:type="auto" w:w="0"/>
        <w:tblLook w:firstColumn="1" w:firstRow="1" w:lastColumn="0" w:lastRow="0" w:noHBand="0" w:noVBand="1" w:val="04A0"/>
      </w:tblPr>
      <w:tblGrid>
        <w:gridCol w:w="3475"/>
        <w:gridCol w:w="3475"/>
        <w:gridCol w:w="3475"/>
      </w:tblGrid>
      <w:tr>
        <w:tc>
          <w:tcPr>
            <w:tcW w:type="dxa" w:w="3475"/>
            <w:shd w:fill="006046"/>
          </w:tcPr>
          <w:p>
            <w:r/>
            <w:r>
              <w:rPr>
                <w:b/>
                <w:color w:val="FFFFFF"/>
                <w:sz w:val="18"/>
              </w:rPr>
              <w:t>Variable</w:t>
            </w:r>
          </w:p>
        </w:tc>
        <w:tc>
          <w:tcPr>
            <w:tcW w:type="dxa" w:w="3475"/>
            <w:shd w:fill="006046"/>
          </w:tcPr>
          <w:p>
            <w:r/>
            <w:r>
              <w:rPr>
                <w:b/>
                <w:color w:val="FFFFFF"/>
                <w:sz w:val="18"/>
              </w:rPr>
              <w:t>Cluster 0 (Alta compl.)</w:t>
            </w:r>
          </w:p>
        </w:tc>
        <w:tc>
          <w:tcPr>
            <w:tcW w:type="dxa" w:w="3475"/>
            <w:shd w:fill="006046"/>
          </w:tcPr>
          <w:p>
            <w:r/>
            <w:r>
              <w:rPr>
                <w:b/>
                <w:color w:val="FFFFFF"/>
                <w:sz w:val="18"/>
              </w:rPr>
              <w:t>Cluster 1 (General)</w:t>
            </w:r>
          </w:p>
        </w:tc>
      </w:tr>
      <w:tr>
        <w:tc>
          <w:tcPr>
            <w:tcW w:type="dxa" w:w="3475"/>
          </w:tcPr>
          <w:p>
            <w:r/>
            <w:r>
              <w:rPr>
                <w:sz w:val="18"/>
              </w:rPr>
              <w:t>n hospitales</w:t>
            </w:r>
          </w:p>
        </w:tc>
        <w:tc>
          <w:tcPr>
            <w:tcW w:type="dxa" w:w="3475"/>
          </w:tcPr>
          <w:p>
            <w:r/>
            <w:r>
              <w:rPr>
                <w:sz w:val="18"/>
              </w:rPr>
              <w:t>18</w:t>
            </w:r>
          </w:p>
        </w:tc>
        <w:tc>
          <w:tcPr>
            <w:tcW w:type="dxa" w:w="3475"/>
          </w:tcPr>
          <w:p>
            <w:r/>
            <w:r>
              <w:rPr>
                <w:sz w:val="18"/>
              </w:rPr>
              <w:t>39</w:t>
            </w:r>
          </w:p>
        </w:tc>
      </w:tr>
      <w:tr>
        <w:tc>
          <w:tcPr>
            <w:tcW w:type="dxa" w:w="3475"/>
          </w:tcPr>
          <w:p>
            <w:r/>
            <w:r>
              <w:rPr>
                <w:sz w:val="18"/>
              </w:rPr>
              <w:t>n casos totales</w:t>
            </w:r>
          </w:p>
        </w:tc>
        <w:tc>
          <w:tcPr>
            <w:tcW w:type="dxa" w:w="3475"/>
          </w:tcPr>
          <w:p>
            <w:r/>
            <w:r>
              <w:rPr>
                <w:sz w:val="18"/>
              </w:rPr>
              <w:t>2 108</w:t>
            </w:r>
          </w:p>
        </w:tc>
        <w:tc>
          <w:tcPr>
            <w:tcW w:type="dxa" w:w="3475"/>
          </w:tcPr>
          <w:p>
            <w:r/>
            <w:r>
              <w:rPr>
                <w:sz w:val="18"/>
              </w:rPr>
              <w:t>14 854</w:t>
            </w:r>
          </w:p>
        </w:tc>
      </w:tr>
      <w:tr>
        <w:tc>
          <w:tcPr>
            <w:tcW w:type="dxa" w:w="3475"/>
          </w:tcPr>
          <w:p>
            <w:r/>
            <w:r>
              <w:rPr>
                <w:sz w:val="18"/>
              </w:rPr>
              <w:t>Mort. intrahospitalaria (%)</w:t>
            </w:r>
          </w:p>
        </w:tc>
        <w:tc>
          <w:tcPr>
            <w:tcW w:type="dxa" w:w="3475"/>
          </w:tcPr>
          <w:p>
            <w:r/>
            <w:r>
              <w:rPr>
                <w:sz w:val="18"/>
              </w:rPr>
              <w:t>16.1</w:t>
            </w:r>
          </w:p>
        </w:tc>
        <w:tc>
          <w:tcPr>
            <w:tcW w:type="dxa" w:w="3475"/>
          </w:tcPr>
          <w:p>
            <w:r/>
            <w:r>
              <w:rPr>
                <w:sz w:val="18"/>
              </w:rPr>
              <w:t>5.1</w:t>
            </w:r>
          </w:p>
        </w:tc>
      </w:tr>
      <w:tr>
        <w:tc>
          <w:tcPr>
            <w:tcW w:type="dxa" w:w="3475"/>
          </w:tcPr>
          <w:p>
            <w:r/>
            <w:r>
              <w:rPr>
                <w:sz w:val="18"/>
              </w:rPr>
              <w:t>Estadía media (días)</w:t>
            </w:r>
          </w:p>
        </w:tc>
        <w:tc>
          <w:tcPr>
            <w:tcW w:type="dxa" w:w="3475"/>
          </w:tcPr>
          <w:p>
            <w:r/>
            <w:r>
              <w:rPr>
                <w:sz w:val="18"/>
              </w:rPr>
              <w:t>7.3</w:t>
            </w:r>
          </w:p>
        </w:tc>
        <w:tc>
          <w:tcPr>
            <w:tcW w:type="dxa" w:w="3475"/>
          </w:tcPr>
          <w:p>
            <w:r/>
            <w:r>
              <w:rPr>
                <w:sz w:val="18"/>
              </w:rPr>
              <w:t>6.3</w:t>
            </w:r>
          </w:p>
        </w:tc>
      </w:tr>
      <w:tr>
        <w:tc>
          <w:tcPr>
            <w:tcW w:type="dxa" w:w="3475"/>
          </w:tcPr>
          <w:p>
            <w:r/>
            <w:r>
              <w:rPr>
                <w:sz w:val="18"/>
              </w:rPr>
              <w:t>Procedimientos medio</w:t>
            </w:r>
          </w:p>
        </w:tc>
        <w:tc>
          <w:tcPr>
            <w:tcW w:type="dxa" w:w="3475"/>
          </w:tcPr>
          <w:p>
            <w:r/>
            <w:r>
              <w:rPr>
                <w:sz w:val="18"/>
              </w:rPr>
              <w:t>11.1</w:t>
            </w:r>
          </w:p>
        </w:tc>
        <w:tc>
          <w:tcPr>
            <w:tcW w:type="dxa" w:w="3475"/>
          </w:tcPr>
          <w:p>
            <w:r/>
            <w:r>
              <w:rPr>
                <w:sz w:val="18"/>
              </w:rPr>
              <w:t>8.3</w:t>
            </w:r>
          </w:p>
        </w:tc>
      </w:tr>
      <w:tr>
        <w:tc>
          <w:tcPr>
            <w:tcW w:type="dxa" w:w="3475"/>
          </w:tcPr>
          <w:p>
            <w:r/>
            <w:r>
              <w:rPr>
                <w:sz w:val="18"/>
              </w:rPr>
              <w:t>Tasa de urgencia (%)</w:t>
            </w:r>
          </w:p>
        </w:tc>
        <w:tc>
          <w:tcPr>
            <w:tcW w:type="dxa" w:w="3475"/>
          </w:tcPr>
          <w:p>
            <w:r/>
            <w:r>
              <w:rPr>
                <w:sz w:val="18"/>
              </w:rPr>
              <w:t>82.3</w:t>
            </w:r>
          </w:p>
        </w:tc>
        <w:tc>
          <w:tcPr>
            <w:tcW w:type="dxa" w:w="3475"/>
          </w:tcPr>
          <w:p>
            <w:r/>
            <w:r>
              <w:rPr>
                <w:sz w:val="18"/>
              </w:rPr>
              <w:t>34.4</w:t>
            </w:r>
          </w:p>
        </w:tc>
      </w:tr>
      <w:tr>
        <w:tc>
          <w:tcPr>
            <w:tcW w:type="dxa" w:w="3475"/>
          </w:tcPr>
          <w:p>
            <w:r/>
            <w:r>
              <w:rPr>
                <w:sz w:val="18"/>
              </w:rPr>
              <w:t>Severidad GRD media</w:t>
            </w:r>
          </w:p>
        </w:tc>
        <w:tc>
          <w:tcPr>
            <w:tcW w:type="dxa" w:w="3475"/>
          </w:tcPr>
          <w:p>
            <w:r/>
            <w:r>
              <w:rPr>
                <w:sz w:val="18"/>
              </w:rPr>
              <w:t>2.14</w:t>
            </w:r>
          </w:p>
        </w:tc>
        <w:tc>
          <w:tcPr>
            <w:tcW w:type="dxa" w:w="3475"/>
          </w:tcPr>
          <w:p>
            <w:r/>
            <w:r>
              <w:rPr>
                <w:sz w:val="18"/>
              </w:rPr>
              <w:t>1.56</w:t>
            </w:r>
          </w:p>
        </w:tc>
      </w:tr>
    </w:tbl>
    <w:p/>
    <w:p>
      <w:pPr>
        <w:spacing w:after="120"/>
        <w:jc w:val="both"/>
      </w:pPr>
      <w:r>
        <w:rPr>
          <w:rFonts w:ascii="Times New Roman" w:hAnsi="Times New Roman"/>
          <w:i/>
          <w:sz w:val="18"/>
        </w:rPr>
        <w:t>Centroides en escala original (no estandarizada). Cluster 1 = alta complejidad/urgente; Cluster 2 = general/baja complejidad. Coeficiente de silueta = 0.407.</w:t>
      </w:r>
    </w:p>
    <w:p>
      <w:pPr>
        <w:pStyle w:val="Heading1"/>
        <w:spacing w:after="80"/>
      </w:pPr>
      <w:r>
        <w:rPr>
          <w:b/>
          <w:color w:val="006046"/>
          <w:sz w:val="22"/>
        </w:rPr>
        <w:t>Referencias</w:t>
      </w:r>
    </w:p>
    <w:p>
      <w:pPr>
        <w:spacing w:after="40"/>
        <w:ind w:left="320"/>
      </w:pPr>
      <w:r>
        <w:rPr>
          <w:sz w:val="18"/>
        </w:rPr>
        <w:t>McKinney W. Data structures for statistical computing in Python. Proceedings of the 9th Python in Science Conference. 2010:56–61.</w:t>
      </w:r>
    </w:p>
    <w:p>
      <w:pPr>
        <w:spacing w:after="40"/>
        <w:ind w:left="320"/>
      </w:pPr>
      <w:r>
        <w:rPr>
          <w:sz w:val="18"/>
        </w:rPr>
        <w:t>Harris CR, Millman KJ, van der Walt SJ, et al. Array programming with NumPy. Nature. 2020;585(7825):357–362.</w:t>
      </w:r>
    </w:p>
    <w:p>
      <w:pPr>
        <w:spacing w:after="40"/>
        <w:ind w:left="320"/>
      </w:pPr>
      <w:r>
        <w:rPr>
          <w:sz w:val="18"/>
        </w:rPr>
        <w:t>Hunter JD. Matplotlib: A 2D graphics environment. Comput Sci Eng. 2007;9(3):90–95.</w:t>
      </w:r>
    </w:p>
    <w:p>
      <w:pPr>
        <w:spacing w:after="40"/>
        <w:ind w:left="320"/>
      </w:pPr>
      <w:r>
        <w:rPr>
          <w:sz w:val="18"/>
        </w:rPr>
        <w:t>Waskom M. seaborn: statistical data visualization. J Open Source Softw. 2021;6(60):3021.</w:t>
      </w:r>
    </w:p>
    <w:p>
      <w:pPr>
        <w:spacing w:after="40"/>
        <w:ind w:left="320"/>
      </w:pPr>
      <w:r>
        <w:rPr>
          <w:sz w:val="18"/>
        </w:rPr>
        <w:t>Ministerio de Salud de Chile. Situación de Salud de Chile 2023: Indicadores Básicos. MINSAL; 2023.</w:t>
      </w:r>
    </w:p>
    <w:p>
      <w:pPr>
        <w:spacing w:after="40"/>
        <w:ind w:left="320"/>
      </w:pPr>
      <w:r>
        <w:rPr>
          <w:sz w:val="18"/>
        </w:rPr>
        <w:t>Global Burden of Disease Collaborative Network. Global Burden of Disease Study 2021. IHME; 2022.</w:t>
      </w:r>
    </w:p>
    <w:p>
      <w:pPr>
        <w:spacing w:after="40"/>
        <w:ind w:left="320"/>
      </w:pPr>
      <w:r>
        <w:rPr>
          <w:sz w:val="18"/>
        </w:rPr>
        <w:t>Wennberg JE. Tracking Medicine: A Researcher's Quest to Understand Health Care. Oxford University Press; 2010.</w:t>
      </w:r>
    </w:p>
    <w:p>
      <w:pPr>
        <w:spacing w:after="40"/>
        <w:ind w:left="320"/>
      </w:pPr>
      <w:r>
        <w:rPr>
          <w:sz w:val="18"/>
        </w:rPr>
        <w:t>OECD. Health at a Glance 2023: OECD Indicators. OECD Publishing; 2023.</w:t>
      </w:r>
    </w:p>
    <w:p>
      <w:pPr>
        <w:spacing w:after="40"/>
        <w:ind w:left="320"/>
      </w:pPr>
      <w:r>
        <w:rPr>
          <w:sz w:val="18"/>
        </w:rPr>
        <w:t>Wennberg JE. Unwarranted variations in healthcare delivery: implications for academic medical centres. BMJ. 2002;325(7370):961–964.</w:t>
      </w:r>
    </w:p>
    <w:p>
      <w:pPr>
        <w:spacing w:after="40"/>
        <w:ind w:left="320"/>
      </w:pPr>
      <w:r>
        <w:rPr>
          <w:sz w:val="18"/>
        </w:rPr>
        <w:t>Kamaraju S, Maganty A, Davies BJ. Hospital-level variation in the management and outcomes of gastric cancer. J Surg Oncol. 2022;126(4):656–665.</w:t>
      </w:r>
    </w:p>
    <w:p>
      <w:pPr>
        <w:spacing w:after="40"/>
        <w:ind w:left="320"/>
      </w:pPr>
      <w:r>
        <w:rPr>
          <w:sz w:val="18"/>
        </w:rPr>
        <w:t>OECD. Health at a Glance 2023. Indicator 6.3: Avoidable hospital admissions. OECD Publishing; 2023.</w:t>
      </w:r>
    </w:p>
    <w:p>
      <w:pPr>
        <w:spacing w:after="40"/>
        <w:ind w:left="320"/>
      </w:pPr>
      <w:r>
        <w:rPr>
          <w:sz w:val="18"/>
        </w:rPr>
        <w:t>Piñeros M, et al. Cancer patterns and trends in Colombia, 2000–2019. Lancet Reg Health Am. 2023;17:100385.</w:t>
      </w:r>
    </w:p>
    <w:p>
      <w:pPr>
        <w:spacing w:after="40"/>
        <w:ind w:left="320"/>
      </w:pPr>
      <w:r>
        <w:rPr>
          <w:sz w:val="18"/>
        </w:rPr>
        <w:t>de Souza DLB, et al. Geographic inequalities in cancer mortality in Brazil. PLoS One. 2021;16(3):e0248580.</w:t>
      </w:r>
    </w:p>
    <w:p>
      <w:pPr>
        <w:spacing w:after="40"/>
        <w:ind w:left="320"/>
      </w:pPr>
      <w:r>
        <w:rPr>
          <w:sz w:val="18"/>
        </w:rPr>
        <w:t>Hollander M, Wolfe DA. Nonparametric Statistical Methods, 2nd ed. Wiley; 1999.</w:t>
      </w:r>
    </w:p>
    <w:p>
      <w:pPr>
        <w:spacing w:after="40"/>
        <w:ind w:left="320"/>
      </w:pPr>
      <w:r>
        <w:rPr>
          <w:sz w:val="18"/>
        </w:rPr>
        <w:t>White H. A heteroskedasticity-consistent covariance matrix estimator and a direct test for heteroskedasticity. Econometrica. 1980;48(4):817–838.</w:t>
      </w:r>
    </w:p>
    <w:p>
      <w:pPr>
        <w:spacing w:after="40"/>
        <w:ind w:left="320"/>
      </w:pPr>
      <w:r>
        <w:rPr>
          <w:sz w:val="18"/>
        </w:rPr>
        <w:t>Bernal YA, Campaña C, Sanhueza C, et al. Multimorbidity profile among cancer-related hospitalization events in younger and older patients: a large-scale nationwide cross-sectional study. Lancet Reg Health Am. 2026;53.</w:t>
      </w:r>
    </w:p>
    <w:p>
      <w:pPr>
        <w:spacing w:after="40"/>
        <w:ind w:left="320"/>
      </w:pPr>
      <w:r>
        <w:rPr>
          <w:sz w:val="18"/>
        </w:rPr>
        <w:t>Sekhon M, Cartwright M, Francis JJ. Acceptability of healthcare interventions: an overview of reviews and development of a theoretical framework. BMC Health Serv Res. 2017;17(1):88.</w:t>
      </w:r>
    </w:p>
    <w:p>
      <w:pPr>
        <w:spacing w:after="40"/>
        <w:ind w:left="320"/>
      </w:pPr>
      <w:r>
        <w:rPr>
          <w:sz w:val="18"/>
        </w:rPr>
        <w:t>Seabold S, Perktold J. statsmodels: Econometric and statistical modeling with Python. Proceedings of the 9th Python in Science Conference. 2010:92–96.</w:t>
      </w:r>
    </w:p>
    <w:p>
      <w:pPr>
        <w:spacing w:after="40"/>
        <w:ind w:left="320"/>
      </w:pPr>
      <w:r>
        <w:rPr>
          <w:sz w:val="18"/>
        </w:rPr>
        <w:t>Pedregosa F, et al. Scikit-learn: Machine learning in Python. J Mach Learn Res. 2011;12:2825–2830.</w:t>
      </w:r>
    </w:p>
    <w:p/>
    <w:p>
      <w:pPr>
        <w:jc w:val="center"/>
      </w:pPr>
      <w:r>
        <w:rPr>
          <w:sz w:val="15"/>
        </w:rPr>
        <w:t>Enviado: Mayo 2026  |  Versión final: Mayo 2026  |  Universidad del Desarrollo, Escuela de Ingeniería  |  Curso: Análisis de Datos e Inferencia Estadística</w:t>
      </w:r>
    </w:p>
    <w:sectPr w:rsidR="00FC693F" w:rsidRPr="0006063C" w:rsidSect="00034616">
      <w:pgSz w:w="12240" w:h="15840"/>
      <w:pgMar w:top="1134" w:right="907" w:bottom="124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