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line="360"/>
        <w:jc w:val="both"/>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color w:val="1F497D"/>
          <w:sz w:val="28"/>
          <w:szCs w:val="28"/>
        </w:rPr>
        <w:t xml:space="preserve">Universidad del Desarrollo</w:t>
      </w:r>
    </w:p>
    <w:p>
      <w:pPr>
        <w:spacing w:after="480"/>
        <w:jc w:val="center"/>
      </w:pPr>
      <w:r>
        <w:rPr>
          <w:rFonts w:ascii="Times New Roman" w:cs="Times New Roman" w:eastAsia="Times New Roman" w:hAnsi="Times New Roman"/>
          <w:color w:val="1F497D"/>
          <w:sz w:val="24"/>
          <w:szCs w:val="24"/>
        </w:rPr>
        <w:t xml:space="preserve">Facultad de Ingeniería</w:t>
      </w:r>
    </w:p>
    <w:p>
      <w:pPr>
        <w:spacing w:after="720" w:before="240" w:line="420"/>
        <w:jc w:val="center"/>
      </w:pPr>
      <w:r>
        <w:rPr>
          <w:rFonts w:ascii="Times New Roman" w:cs="Times New Roman" w:eastAsia="Times New Roman" w:hAnsi="Times New Roman"/>
          <w:b/>
          <w:bCs/>
          <w:sz w:val="36"/>
          <w:szCs w:val="36"/>
        </w:rPr>
        <w:t xml:space="preserve">Variabilidad en el Tratamiento Oncológico y sus Efectos sobre la Mortalidad y la Estadía Hospitalaria en el Sistema Público Chileno</w:t>
      </w:r>
    </w:p>
    <w:p>
      <w:pPr>
        <w:spacing w:after="960"/>
        <w:jc w:val="center"/>
      </w:pPr>
      <w:r>
        <w:rPr>
          <w:rFonts w:ascii="Times New Roman" w:cs="Times New Roman" w:eastAsia="Times New Roman" w:hAnsi="Times New Roman"/>
          <w:color w:val="444444"/>
          <w:sz w:val="26"/>
          <w:szCs w:val="26"/>
        </w:rPr>
        <w:t xml:space="preserve">Informe Final de Proyecto</w:t>
      </w:r>
    </w:p>
    <w:p>
      <w:pPr>
        <w:spacing w:after="120"/>
        <w:jc w:val="center"/>
      </w:pPr>
      <w:r>
        <w:rPr>
          <w:rFonts w:ascii="Times New Roman" w:cs="Times New Roman" w:eastAsia="Times New Roman" w:hAnsi="Times New Roman"/>
          <w:sz w:val="24"/>
          <w:szCs w:val="24"/>
        </w:rPr>
        <w:t xml:space="preserve">Equipo: Vicente Rodríguez · José Tomás Amat · Sebastián Herrera</w:t>
      </w:r>
    </w:p>
    <w:p>
      <w:pPr>
        <w:spacing w:after="120"/>
        <w:jc w:val="center"/>
      </w:pPr>
      <w:r>
        <w:rPr>
          <w:rFonts w:ascii="Times New Roman" w:cs="Times New Roman" w:eastAsia="Times New Roman" w:hAnsi="Times New Roman"/>
          <w:sz w:val="24"/>
          <w:szCs w:val="24"/>
        </w:rPr>
        <w:t xml:space="preserve">Curso: Análisis de Datos e Inferencia Estadística — Ingeniería UDD</w:t>
      </w:r>
    </w:p>
    <w:p>
      <w:pPr>
        <w:spacing w:after="120"/>
        <w:jc w:val="center"/>
      </w:pPr>
      <w:r>
        <w:rPr>
          <w:rFonts w:ascii="Times New Roman" w:cs="Times New Roman" w:eastAsia="Times New Roman" w:hAnsi="Times New Roman"/>
          <w:color w:val="666666"/>
          <w:sz w:val="24"/>
          <w:szCs w:val="24"/>
        </w:rPr>
        <w:t xml:space="preserve">Profesor/a: [Nombre Profesor] · Ayudante: [Nombre Ayudante]</w:t>
      </w:r>
    </w:p>
    <w:p>
      <w:pPr>
        <w:spacing w:after="0"/>
        <w:jc w:val="center"/>
      </w:pPr>
      <w:r>
        <w:rPr>
          <w:rFonts w:ascii="Times New Roman" w:cs="Times New Roman" w:eastAsia="Times New Roman" w:hAnsi="Times New Roman"/>
          <w:sz w:val="24"/>
          <w:szCs w:val="24"/>
        </w:rPr>
        <w:t xml:space="preserve">Mayo 2026</w:t>
      </w:r>
    </w:p>
    <w:p>
      <w:pPr>
        <w:sectPr>
          <w:pgSz w:w="11906" w:h="16838" w:orient="portrait"/>
          <w:pgMar w:top="1418" w:right="1418" w:bottom="1418" w:left="1418" w:header="708" w:footer="708" w:gutter="0"/>
          <w:pgNumType/>
          <w:docGrid w:linePitch="360"/>
        </w:sectPr>
      </w:pPr>
    </w:p>
    <w:p>
      <w:pPr>
        <w:pStyle w:val="Heading1"/>
        <w:pBdr>
          <w:bottom w:val="single" w:color="1F497D" w:sz="6"/>
        </w:pBdr>
        <w:spacing w:after="180" w:before="360"/>
      </w:pPr>
      <w:r>
        <w:rPr>
          <w:rFonts w:ascii="Times New Roman" w:cs="Times New Roman" w:eastAsia="Times New Roman" w:hAnsi="Times New Roman"/>
          <w:b/>
          <w:bCs/>
          <w:color w:val="1F497D"/>
          <w:sz w:val="28"/>
          <w:szCs w:val="28"/>
        </w:rPr>
        <w:t xml:space="preserve">1. Resumen</w:t>
      </w:r>
    </w:p>
    <w:p>
      <w:pPr>
        <w:spacing w:after="160" w:before="0" w:line="360"/>
        <w:jc w:val="both"/>
      </w:pPr>
      <w:r>
        <w:rPr>
          <w:rFonts w:ascii="Times New Roman" w:cs="Times New Roman" w:eastAsia="Times New Roman" w:hAnsi="Times New Roman"/>
          <w:sz w:val="24"/>
          <w:szCs w:val="24"/>
        </w:rPr>
        <w:t xml:space="preserve">El cáncer gástrico (CIE-10: C16.*) es la principal causa oncológica de muerte en el sistema público chileno. Este estudio analiza si el hospital de atención determina los resultados clínicos más allá del perfil del paciente. Se empleó la base GRD MINSAL/FONASA 2019–2024 (17.335 egresos C16.* en 57 hospitales; subconjunto de regresión: 9.855 egresos en 15 hospitales). Los métodos incluyen EDA descriptivo e inferencial, Kruskal-Wallis con Dunn-Bonferroni (H₁), regresión logística múltiple (H₂), OLS con errores HC3 (H₃), modelo multinivel, análisis IDH comunal y clustering K-means.</w:t>
      </w:r>
    </w:p>
    <w:p>
      <w:pPr>
        <w:spacing w:after="160" w:before="0" w:line="360"/>
        <w:jc w:val="both"/>
      </w:pPr>
      <w:r>
        <w:rPr>
          <w:rFonts w:ascii="Times New Roman" w:cs="Times New Roman" w:eastAsia="Times New Roman" w:hAnsi="Times New Roman"/>
          <w:sz w:val="24"/>
          <w:szCs w:val="24"/>
        </w:rPr>
        <w:t xml:space="preserve">Hallazgos clave: la distribución de procedimientos difiere significativamente entre hospitales (H=412.3, p&lt;0.001, ε²=0.08; 61.8% pares significativos). Cada procedimiento adicional aumenta la probabilidad de mortalidad en 5% (OR=1.05; AUC-ROC=0.823) y la estadía en 9.7% (β=0.093; R²=0.636). El ICC del modelo multinivel indica que el 18.4% de la varianza en estadías es atribuible al hospital. Los pacientes del quintil de IDH más bajo (Q1) presentan 2.8 puntos porcentuales más mortalidad que los del quintil más alto (Q5). La variabilidad hospitalaria es estructural, estadísticamente robusta y socioeconomicamente inequitativa.</w:t>
      </w:r>
    </w:p>
    <w:p>
      <w:pPr>
        <w:spacing w:after="160" w:before="0" w:line="360"/>
        <w:jc w:val="both"/>
      </w:pPr>
      <w:r>
        <w:rPr>
          <w:rFonts w:ascii="Times New Roman" w:cs="Times New Roman" w:eastAsia="Times New Roman" w:hAnsi="Times New Roman"/>
          <w:sz w:val="22"/>
          <w:szCs w:val="22"/>
        </w:rPr>
        <w:t xml:space="preserve">Palabras clave: cáncer gástrico · variabilidad hospitalaria · ICC · Chile · base GRD · equidad en salud</w:t>
      </w:r>
    </w:p>
    <w:p>
      <w:pPr>
        <w:spacing w:after="160" w:before="0" w:line="360"/>
        <w:jc w:val="both"/>
      </w:pPr>
      <w:r>
        <w:rPr>
          <w:rFonts w:ascii="Times New Roman" w:cs="Times New Roman" w:eastAsia="Times New Roman" w:hAnsi="Times New Roman"/>
          <w:sz w:val="24"/>
          <w:szCs w:val="24"/>
        </w:rPr>
        <w:t xml:space="preserve"/>
      </w:r>
    </w:p>
    <w:p>
      <w:pPr>
        <w:pStyle w:val="Heading1"/>
        <w:pBdr>
          <w:bottom w:val="single" w:color="1F497D" w:sz="6"/>
        </w:pBdr>
        <w:spacing w:after="180" w:before="360"/>
      </w:pPr>
      <w:r>
        <w:rPr>
          <w:rFonts w:ascii="Times New Roman" w:cs="Times New Roman" w:eastAsia="Times New Roman" w:hAnsi="Times New Roman"/>
          <w:b/>
          <w:bCs/>
          <w:color w:val="1F497D"/>
          <w:sz w:val="28"/>
          <w:szCs w:val="28"/>
        </w:rPr>
        <w:t xml:space="preserve">2. Introducción y Pregunta de Investigación</w:t>
      </w:r>
    </w:p>
    <w:p>
      <w:pPr>
        <w:spacing w:after="160" w:before="0" w:line="360"/>
        <w:jc w:val="both"/>
      </w:pPr>
      <w:r>
        <w:rPr>
          <w:rFonts w:ascii="Times New Roman" w:cs="Times New Roman" w:eastAsia="Times New Roman" w:hAnsi="Times New Roman"/>
          <w:sz w:val="24"/>
          <w:szCs w:val="24"/>
        </w:rPr>
        <w:t xml:space="preserve">El cáncer es la segunda causa de muerte en Chile y el principal contribuyente a años de vida perdidos prematuramente (MINSAL, 2023). El cáncer gástrico (CIE-10: C16.*) lidera en incidencia y mortalidad dentro del sistema público, con tasas de sobrevida a 5 años sustancialmente menores a las de países de alto ingreso (GBD, 2022).</w:t>
      </w:r>
    </w:p>
    <w:p>
      <w:pPr>
        <w:spacing w:after="160" w:before="0" w:line="360"/>
        <w:jc w:val="both"/>
      </w:pPr>
      <w:r>
        <w:rPr>
          <w:rFonts w:ascii="Times New Roman" w:cs="Times New Roman" w:eastAsia="Times New Roman" w:hAnsi="Times New Roman"/>
          <w:sz w:val="24"/>
          <w:szCs w:val="24"/>
        </w:rPr>
        <w:t xml:space="preserve">Existe evidencia creciente de que la variabilidad hospitalaria en tratamiento oncológico no se explica completamente por las características clínicas de los pacientes (Wennberg, 2010; Kamaraju et al., 2022). Esta variabilidad clínica no justificada tiene implicaciones directas para la equidad en salud: cuando los resultados dependen del lugar de atención y no de las necesidades médicas, el acceso a tratamiento de calidad se convierte en función de la geografía y del nivel socioeconómico.</w:t>
      </w:r>
    </w:p>
    <w:p>
      <w:pPr>
        <w:spacing w:after="160" w:before="0" w:line="360"/>
        <w:jc w:val="both"/>
      </w:pPr>
      <w:r>
        <w:rPr>
          <w:rFonts w:ascii="Times New Roman" w:cs="Times New Roman" w:eastAsia="Times New Roman" w:hAnsi="Times New Roman"/>
          <w:sz w:val="24"/>
          <w:szCs w:val="24"/>
        </w:rPr>
        <w:t xml:space="preserve">En Chile, el sistema FONASA cubre aproximadamente el 80% de la población a través de una red de hospitales con niveles heterogéneos de complejidad, dotación de recursos y distribución geográfica. Los hospitales que sirven territorios de menor ingreso enfrentan barreras adicionales: mayor proporción de presentaciones tardías, ingresos de urgencia y capacidad de tratamiento restringida.</w:t>
      </w:r>
    </w:p>
    <w:p>
      <w:pPr>
        <w:pStyle w:val="Heading2"/>
        <w:spacing w:after="120" w:before="240"/>
      </w:pPr>
      <w:r>
        <w:rPr>
          <w:rFonts w:ascii="Times New Roman" w:cs="Times New Roman" w:eastAsia="Times New Roman" w:hAnsi="Times New Roman"/>
          <w:b/>
          <w:bCs/>
          <w:color w:val="2E4DAA"/>
          <w:sz w:val="24"/>
          <w:szCs w:val="24"/>
        </w:rPr>
        <w:t xml:space="preserve">2.1 Pregunta de investigación</w:t>
      </w:r>
    </w:p>
    <w:p>
      <w:pPr>
        <w:spacing w:after="180" w:before="120" w:line="360"/>
        <w:ind w:left="720"/>
        <w:jc w:val="both"/>
      </w:pPr>
      <w:r>
        <w:rPr>
          <w:rFonts w:ascii="Times New Roman" w:cs="Times New Roman" w:eastAsia="Times New Roman" w:hAnsi="Times New Roman"/>
          <w:sz w:val="24"/>
          <w:szCs w:val="24"/>
        </w:rPr>
        <w:t xml:space="preserve">¿En qué medida el hospital de atención determina los días de estadía, la cantidad de procedimientos y la mortalidad intrahospitalaria en pacientes con cáncer gástrico (C16.*) en el sistema público chileno, controlando las características clínicas del paciente?</w:t>
      </w:r>
    </w:p>
    <w:p>
      <w:pPr>
        <w:pStyle w:val="Heading2"/>
        <w:spacing w:after="120" w:before="240"/>
      </w:pPr>
      <w:r>
        <w:rPr>
          <w:rFonts w:ascii="Times New Roman" w:cs="Times New Roman" w:eastAsia="Times New Roman" w:hAnsi="Times New Roman"/>
          <w:b/>
          <w:bCs/>
          <w:color w:val="2E4DAA"/>
          <w:sz w:val="24"/>
          <w:szCs w:val="24"/>
        </w:rPr>
        <w:t xml:space="preserve">2.2 Hipótesis y objetivos</w:t>
      </w:r>
    </w:p>
    <w:p>
      <w:pPr>
        <w:spacing w:after="160" w:before="0" w:line="360"/>
        <w:jc w:val="both"/>
      </w:pPr>
      <w:r>
        <w:rPr>
          <w:rFonts w:ascii="Times New Roman" w:cs="Times New Roman" w:eastAsia="Times New Roman" w:hAnsi="Times New Roman"/>
          <w:sz w:val="24"/>
          <w:szCs w:val="24"/>
        </w:rPr>
        <w:t xml:space="preserve">Hipótesis general: Existe variabilidad inter-hospitalaria significativa que no se explica por las características observables del paciente. Esta hipótesis se operacionaliza en tres tests estadísticos:</w:t>
      </w:r>
    </w:p>
    <w:p>
      <w:pPr>
        <w:pStyle w:val="ListParagraph"/>
        <w:numPr>
          <w:ilvl w:val="0"/>
          <w:numId w:val="2"/>
        </w:numPr>
        <w:spacing w:after="60" w:before="60" w:line="360"/>
      </w:pPr>
      <w:r>
        <w:rPr>
          <w:rFonts w:ascii="Times New Roman" w:cs="Times New Roman" w:eastAsia="Times New Roman" w:hAnsi="Times New Roman"/>
          <w:sz w:val="24"/>
          <w:szCs w:val="24"/>
        </w:rPr>
        <w:t xml:space="preserve">H₁: La distribución de procedimientos difiere significativamente entre hospitales (Kruskal-Wallis + Dunn-Bonferroni).</w:t>
      </w:r>
    </w:p>
    <w:p>
      <w:pPr>
        <w:pStyle w:val="ListParagraph"/>
        <w:numPr>
          <w:ilvl w:val="0"/>
          <w:numId w:val="2"/>
        </w:numPr>
        <w:spacing w:after="60" w:before="60" w:line="360"/>
      </w:pPr>
      <w:r>
        <w:rPr>
          <w:rFonts w:ascii="Times New Roman" w:cs="Times New Roman" w:eastAsia="Times New Roman" w:hAnsi="Times New Roman"/>
          <w:sz w:val="24"/>
          <w:szCs w:val="24"/>
        </w:rPr>
        <w:t xml:space="preserve">H₂: Los procedimientos se asocian con la mortalidad intrahospitalaria, controlando por severidad y hospital (Regresión Logística).</w:t>
      </w:r>
    </w:p>
    <w:p>
      <w:pPr>
        <w:pStyle w:val="ListParagraph"/>
        <w:numPr>
          <w:ilvl w:val="0"/>
          <w:numId w:val="2"/>
        </w:numPr>
        <w:spacing w:after="60" w:before="60" w:line="360"/>
      </w:pPr>
      <w:r>
        <w:rPr>
          <w:rFonts w:ascii="Times New Roman" w:cs="Times New Roman" w:eastAsia="Times New Roman" w:hAnsi="Times New Roman"/>
          <w:sz w:val="24"/>
          <w:szCs w:val="24"/>
        </w:rPr>
        <w:t xml:space="preserve">H₃: Los procedimientos predicen los días de estadía, controlando por factores clínicos e institucionales (OLS HC3).</w:t>
      </w:r>
    </w:p>
    <w:p>
      <w:pPr>
        <w:pStyle w:val="Heading2"/>
        <w:spacing w:after="120" w:before="240"/>
      </w:pPr>
      <w:r>
        <w:rPr>
          <w:rFonts w:ascii="Times New Roman" w:cs="Times New Roman" w:eastAsia="Times New Roman" w:hAnsi="Times New Roman"/>
          <w:b/>
          <w:bCs/>
          <w:color w:val="2E4DAA"/>
          <w:sz w:val="24"/>
          <w:szCs w:val="24"/>
        </w:rPr>
        <w:t xml:space="preserve">2.3 Integración de avances previos</w:t>
      </w:r>
    </w:p>
    <w:p>
      <w:pPr>
        <w:spacing w:after="160" w:before="0" w:line="360"/>
        <w:jc w:val="both"/>
      </w:pPr>
      <w:r>
        <w:rPr>
          <w:rFonts w:ascii="Times New Roman" w:cs="Times New Roman" w:eastAsia="Times New Roman" w:hAnsi="Times New Roman"/>
          <w:sz w:val="24"/>
          <w:szCs w:val="24"/>
        </w:rPr>
        <w:t xml:space="preserve">Este estudio integra y amplía el Avance 1 (EDA exploratorio del universo GRD 2019–2024, formulación de hipótesis y revisión de literatura) y el Avance 2 (análisis inferencial focal en C16.*, regresión logística y OLS), añadiendo el modelo multinivel con ICC, análisis IDH comunal y clustering K-means como extensiones analíticas de la entrega final.</w:t>
      </w:r>
    </w:p>
    <w:p>
      <w:pPr>
        <w:spacing w:after="160" w:before="0" w:line="360"/>
        <w:jc w:val="both"/>
      </w:pPr>
      <w:r>
        <w:rPr>
          <w:rFonts w:ascii="Times New Roman" w:cs="Times New Roman" w:eastAsia="Times New Roman" w:hAnsi="Times New Roman"/>
          <w:sz w:val="24"/>
          <w:szCs w:val="24"/>
        </w:rPr>
        <w:t xml:space="preserve"/>
      </w:r>
    </w:p>
    <w:p>
      <w:pPr>
        <w:pStyle w:val="Heading1"/>
        <w:pBdr>
          <w:bottom w:val="single" w:color="1F497D" w:sz="6"/>
        </w:pBdr>
        <w:spacing w:after="180" w:before="360"/>
      </w:pPr>
      <w:r>
        <w:rPr>
          <w:rFonts w:ascii="Times New Roman" w:cs="Times New Roman" w:eastAsia="Times New Roman" w:hAnsi="Times New Roman"/>
          <w:b/>
          <w:bCs/>
          <w:color w:val="1F497D"/>
          <w:sz w:val="28"/>
          <w:szCs w:val="28"/>
        </w:rPr>
        <w:t xml:space="preserve">3. Descripción del Dataset</w:t>
      </w:r>
    </w:p>
    <w:p>
      <w:pPr>
        <w:spacing w:after="160" w:before="0" w:line="360"/>
        <w:jc w:val="both"/>
      </w:pPr>
      <w:r>
        <w:rPr>
          <w:rFonts w:ascii="Times New Roman" w:cs="Times New Roman" w:eastAsia="Times New Roman" w:hAnsi="Times New Roman"/>
          <w:sz w:val="24"/>
          <w:szCs w:val="24"/>
        </w:rPr>
        <w:t xml:space="preserve">La fuente de datos es la Base GRD Público MINSAL/FONASA, que registra el 100% de los egresos hospitalarios del sistema público chileno. El dataset está disponible en https://datos.gob.cl y cubre el período 2019–2024.</w:t>
      </w:r>
    </w:p>
    <w:p>
      <w:pPr>
        <w:spacing w:after="60" w:before="120"/>
        <w:jc w:val="left"/>
      </w:pPr>
      <w:r>
        <w:rPr>
          <w:rFonts w:ascii="Times New Roman" w:cs="Times New Roman" w:eastAsia="Times New Roman" w:hAnsi="Times New Roman"/>
          <w:b/>
          <w:bCs/>
          <w:sz w:val="20"/>
          <w:szCs w:val="20"/>
        </w:rPr>
        <w:t xml:space="preserve">Tabla 1. Resumen del dataset GRD utilizado en el análisis.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5442"/>
      </w:tblGrid>
      <w:tr>
        <w:tc>
          <w:tcPr>
            <w:tcW w:type="dxa" w:w="3628"/>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Atributo</w:t>
            </w:r>
          </w:p>
        </w:tc>
        <w:tc>
          <w:tcPr>
            <w:tcW w:type="dxa" w:w="5442"/>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Descripción</w:t>
            </w:r>
          </w:p>
        </w:tc>
      </w:tr>
      <w:tr>
        <w:tc>
          <w:tcPr>
            <w:tcW w:type="dxa" w:w="362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Fuente</w:t>
            </w:r>
          </w:p>
        </w:tc>
        <w:tc>
          <w:tcPr>
            <w:tcW w:type="dxa" w:w="544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GRD Público MINSAL/FONASA</w:t>
            </w:r>
          </w:p>
        </w:tc>
      </w:tr>
      <w:tr>
        <w:tc>
          <w:tcPr>
            <w:tcW w:type="dxa" w:w="362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Período</w:t>
            </w:r>
          </w:p>
        </w:tc>
        <w:tc>
          <w:tcPr>
            <w:tcW w:type="dxa" w:w="5442"/>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2019–2024 (6 años)</w:t>
            </w:r>
          </w:p>
        </w:tc>
      </w:tr>
      <w:tr>
        <w:tc>
          <w:tcPr>
            <w:tcW w:type="dxa" w:w="362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Universo oncológico (C00–D49)</w:t>
            </w:r>
          </w:p>
        </w:tc>
        <w:tc>
          <w:tcPr>
            <w:tcW w:type="dxa" w:w="544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~421.824 egresos</w:t>
            </w:r>
          </w:p>
        </w:tc>
      </w:tr>
      <w:tr>
        <w:tc>
          <w:tcPr>
            <w:tcW w:type="dxa" w:w="362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Subconjunto focal (C16.*)</w:t>
            </w:r>
          </w:p>
        </w:tc>
        <w:tc>
          <w:tcPr>
            <w:tcW w:type="dxa" w:w="5442"/>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~17.335 egresos de cáncer gástrico</w:t>
            </w:r>
          </w:p>
        </w:tc>
      </w:tr>
      <w:tr>
        <w:tc>
          <w:tcPr>
            <w:tcW w:type="dxa" w:w="362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Muestra de regresión</w:t>
            </w:r>
          </w:p>
        </w:tc>
        <w:tc>
          <w:tcPr>
            <w:tcW w:type="dxa" w:w="544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9.855 egresos (top 15 hospitales, ≥30 casos)</w:t>
            </w:r>
          </w:p>
        </w:tc>
      </w:tr>
      <w:tr>
        <w:tc>
          <w:tcPr>
            <w:tcW w:type="dxa" w:w="362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Unidad de análisis</w:t>
            </w:r>
          </w:p>
        </w:tc>
        <w:tc>
          <w:tcPr>
            <w:tcW w:type="dxa" w:w="5442"/>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Egreso hospitalario (no paciente individual)</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2E4DAA"/>
          <w:sz w:val="24"/>
          <w:szCs w:val="24"/>
        </w:rPr>
        <w:t xml:space="preserve">3.1 Variables clave</w:t>
      </w:r>
    </w:p>
    <w:p>
      <w:pPr>
        <w:pStyle w:val="ListParagraph"/>
        <w:numPr>
          <w:ilvl w:val="0"/>
          <w:numId w:val="2"/>
        </w:numPr>
        <w:spacing w:after="60" w:before="60" w:line="360"/>
      </w:pPr>
      <w:r>
        <w:rPr>
          <w:rFonts w:ascii="Times New Roman" w:cs="Times New Roman" w:eastAsia="Times New Roman" w:hAnsi="Times New Roman"/>
          <w:sz w:val="24"/>
          <w:szCs w:val="24"/>
        </w:rPr>
        <w:t xml:space="preserve">dias_estada (VD en H₃): Distribución asimétrica (mediana 7 días, IQR 3–12); transformación log(1+x) corrige asimetría de 1.63 a −0.32.</w:t>
      </w:r>
    </w:p>
    <w:p>
      <w:pPr>
        <w:pStyle w:val="ListParagraph"/>
        <w:numPr>
          <w:ilvl w:val="0"/>
          <w:numId w:val="2"/>
        </w:numPr>
        <w:spacing w:after="60" w:before="60" w:line="360"/>
      </w:pPr>
      <w:r>
        <w:rPr>
          <w:rFonts w:ascii="Times New Roman" w:cs="Times New Roman" w:eastAsia="Times New Roman" w:hAnsi="Times New Roman"/>
          <w:sz w:val="24"/>
          <w:szCs w:val="24"/>
        </w:rPr>
        <w:t xml:space="preserve">cantidad_procedimientos (VI principal): Mediana 3 (IQR 1–6); normalidad rechazada por Shapiro-Wilk (W=0.922, p&lt;0.001).</w:t>
      </w:r>
    </w:p>
    <w:p>
      <w:pPr>
        <w:pStyle w:val="ListParagraph"/>
        <w:numPr>
          <w:ilvl w:val="0"/>
          <w:numId w:val="2"/>
        </w:numPr>
        <w:spacing w:after="60" w:before="60" w:line="360"/>
      </w:pPr>
      <w:r>
        <w:rPr>
          <w:rFonts w:ascii="Times New Roman" w:cs="Times New Roman" w:eastAsia="Times New Roman" w:hAnsi="Times New Roman"/>
          <w:sz w:val="24"/>
          <w:szCs w:val="24"/>
        </w:rPr>
        <w:t xml:space="preserve">mortalidad_int (VD en H₂): Variable binaria 0/1; tasa 4.05% — severo desbalance de clase.</w:t>
      </w:r>
    </w:p>
    <w:p>
      <w:pPr>
        <w:pStyle w:val="ListParagraph"/>
        <w:numPr>
          <w:ilvl w:val="0"/>
          <w:numId w:val="2"/>
        </w:numPr>
        <w:spacing w:after="60" w:before="60" w:line="360"/>
      </w:pPr>
      <w:r>
        <w:rPr>
          <w:rFonts w:ascii="Times New Roman" w:cs="Times New Roman" w:eastAsia="Times New Roman" w:hAnsi="Times New Roman"/>
          <w:sz w:val="24"/>
          <w:szCs w:val="24"/>
        </w:rPr>
        <w:t xml:space="preserve">severidad_grd: Escala ordinal 1–4, proxy de complejidad clínica del episodio.</w:t>
      </w:r>
    </w:p>
    <w:p>
      <w:pPr>
        <w:pStyle w:val="ListParagraph"/>
        <w:numPr>
          <w:ilvl w:val="0"/>
          <w:numId w:val="2"/>
        </w:numPr>
        <w:spacing w:after="60" w:before="60" w:line="360"/>
      </w:pPr>
      <w:r>
        <w:rPr>
          <w:rFonts w:ascii="Times New Roman" w:cs="Times New Roman" w:eastAsia="Times New Roman" w:hAnsi="Times New Roman"/>
          <w:sz w:val="24"/>
          <w:szCs w:val="24"/>
        </w:rPr>
        <w:t xml:space="preserve">peso_grd: Variable continua, proxy de consumo relativo de recursos.</w:t>
      </w:r>
    </w:p>
    <w:p>
      <w:pPr>
        <w:pStyle w:val="ListParagraph"/>
        <w:numPr>
          <w:ilvl w:val="0"/>
          <w:numId w:val="2"/>
        </w:numPr>
        <w:spacing w:after="60" w:before="60" w:line="360"/>
      </w:pPr>
      <w:r>
        <w:rPr>
          <w:rFonts w:ascii="Times New Roman" w:cs="Times New Roman" w:eastAsia="Times New Roman" w:hAnsi="Times New Roman"/>
          <w:sz w:val="24"/>
          <w:szCs w:val="24"/>
        </w:rPr>
        <w:t xml:space="preserve">comorbilidad: Conteo de diagnósticos secundarios activos (proxy Charlson-Deyo simplificado).</w:t>
      </w:r>
    </w:p>
    <w:p>
      <w:pPr>
        <w:pStyle w:val="ListParagraph"/>
        <w:numPr>
          <w:ilvl w:val="0"/>
          <w:numId w:val="2"/>
        </w:numPr>
        <w:spacing w:after="60" w:before="60" w:line="360"/>
      </w:pPr>
      <w:r>
        <w:rPr>
          <w:rFonts w:ascii="Times New Roman" w:cs="Times New Roman" w:eastAsia="Times New Roman" w:hAnsi="Times New Roman"/>
          <w:sz w:val="24"/>
          <w:szCs w:val="24"/>
        </w:rPr>
        <w:t xml:space="preserve">IDH comunal: Índice de Desarrollo Humano municipal 2024, vinculado por nombre de comuna normalizado.</w:t>
      </w:r>
    </w:p>
    <w:p>
      <w:pPr>
        <w:spacing w:after="160" w:before="0" w:line="360"/>
        <w:jc w:val="both"/>
      </w:pPr>
      <w:r>
        <w:rPr>
          <w:rFonts w:ascii="Times New Roman" w:cs="Times New Roman" w:eastAsia="Times New Roman" w:hAnsi="Times New Roman"/>
          <w:sz w:val="24"/>
          <w:szCs w:val="24"/>
        </w:rPr>
        <w:t xml:space="preserve"/>
      </w:r>
    </w:p>
    <w:p>
      <w:pPr>
        <w:pStyle w:val="Heading1"/>
        <w:pBdr>
          <w:bottom w:val="single" w:color="1F497D" w:sz="6"/>
        </w:pBdr>
        <w:spacing w:after="180" w:before="360"/>
      </w:pPr>
      <w:r>
        <w:rPr>
          <w:rFonts w:ascii="Times New Roman" w:cs="Times New Roman" w:eastAsia="Times New Roman" w:hAnsi="Times New Roman"/>
          <w:b/>
          <w:bCs/>
          <w:color w:val="1F497D"/>
          <w:sz w:val="28"/>
          <w:szCs w:val="28"/>
        </w:rPr>
        <w:t xml:space="preserve">4. Limpieza y Preparación de Datos</w:t>
      </w:r>
    </w:p>
    <w:p>
      <w:pPr>
        <w:spacing w:after="160" w:before="0" w:line="360"/>
        <w:jc w:val="both"/>
      </w:pPr>
      <w:r>
        <w:rPr>
          <w:rFonts w:ascii="Times New Roman" w:cs="Times New Roman" w:eastAsia="Times New Roman" w:hAnsi="Times New Roman"/>
          <w:sz w:val="24"/>
          <w:szCs w:val="24"/>
        </w:rPr>
        <w:t xml:space="preserve">El pipeline de limpieza constó de 5 etapas secuenciales que se documentan en la Tabla 2, junto con su efecto cuantitativo sobre el tamaño muestral.</w:t>
      </w:r>
    </w:p>
    <w:p>
      <w:pPr>
        <w:spacing w:after="60" w:before="120"/>
        <w:jc w:val="left"/>
      </w:pPr>
      <w:r>
        <w:rPr>
          <w:rFonts w:ascii="Times New Roman" w:cs="Times New Roman" w:eastAsia="Times New Roman" w:hAnsi="Times New Roman"/>
          <w:b/>
          <w:bCs/>
          <w:sz w:val="20"/>
          <w:szCs w:val="20"/>
        </w:rPr>
        <w:t xml:space="preserve">Tabla 2. Pipeline de limpieza de datos con efecto cuantitativo por etapa.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35"/>
        <w:gridCol w:w="3900"/>
        <w:gridCol w:w="2268"/>
        <w:gridCol w:w="2268"/>
      </w:tblGrid>
      <w:tr>
        <w:tc>
          <w:tcPr>
            <w:tcW w:type="dxa" w:w="635"/>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Etapa</w:t>
            </w:r>
          </w:p>
        </w:tc>
        <w:tc>
          <w:tcPr>
            <w:tcW w:type="dxa" w:w="3900"/>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Operación</w:t>
            </w:r>
          </w:p>
        </w:tc>
        <w:tc>
          <w:tcPr>
            <w:tcW w:type="dxa" w:w="2268"/>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N resultante</w:t>
            </w:r>
          </w:p>
        </w:tc>
        <w:tc>
          <w:tcPr>
            <w:tcW w:type="dxa" w:w="2268"/>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Δ</w:t>
            </w:r>
          </w:p>
        </w:tc>
      </w:tr>
      <w:tr>
        <w:tc>
          <w:tcPr>
            <w:tcW w:type="dxa" w:w="63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w:t>
            </w:r>
          </w:p>
        </w:tc>
        <w:tc>
          <w:tcPr>
            <w:tcW w:type="dxa" w:w="3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Filtro CIE-10 C00–D49</w:t>
            </w:r>
          </w:p>
        </w:tc>
        <w:tc>
          <w:tcPr>
            <w:tcW w:type="dxa" w:w="226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~421.824</w:t>
            </w:r>
          </w:p>
        </w:tc>
        <w:tc>
          <w:tcPr>
            <w:tcW w:type="dxa" w:w="226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−35.893</w:t>
            </w:r>
          </w:p>
        </w:tc>
      </w:tr>
      <w:tr>
        <w:tc>
          <w:tcPr>
            <w:tcW w:type="dxa" w:w="63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2</w:t>
            </w:r>
          </w:p>
        </w:tc>
        <w:tc>
          <w:tcPr>
            <w:tcW w:type="dxa" w:w="3900"/>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Exclusión egresos obstétricos</w:t>
            </w:r>
          </w:p>
        </w:tc>
        <w:tc>
          <w:tcPr>
            <w:tcW w:type="dxa" w:w="226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~421.033</w:t>
            </w:r>
          </w:p>
        </w:tc>
        <w:tc>
          <w:tcPr>
            <w:tcW w:type="dxa" w:w="226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−791</w:t>
            </w:r>
          </w:p>
        </w:tc>
      </w:tr>
      <w:tr>
        <w:tc>
          <w:tcPr>
            <w:tcW w:type="dxa" w:w="63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3</w:t>
            </w:r>
          </w:p>
        </w:tc>
        <w:tc>
          <w:tcPr>
            <w:tcW w:type="dxa" w:w="3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Truncación outliers dias_estada (P99=25 días) + fix tipos</w:t>
            </w:r>
          </w:p>
        </w:tc>
        <w:tc>
          <w:tcPr>
            <w:tcW w:type="dxa" w:w="226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~418.212</w:t>
            </w:r>
          </w:p>
        </w:tc>
        <w:tc>
          <w:tcPr>
            <w:tcW w:type="dxa" w:w="226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−2.821</w:t>
            </w:r>
          </w:p>
        </w:tc>
      </w:tr>
      <w:tr>
        <w:tc>
          <w:tcPr>
            <w:tcW w:type="dxa" w:w="63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4</w:t>
            </w:r>
          </w:p>
        </w:tc>
        <w:tc>
          <w:tcPr>
            <w:tcW w:type="dxa" w:w="3900"/>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Subconjunto focal C16.*</w:t>
            </w:r>
          </w:p>
        </w:tc>
        <w:tc>
          <w:tcPr>
            <w:tcW w:type="dxa" w:w="226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~17.335</w:t>
            </w:r>
          </w:p>
        </w:tc>
        <w:tc>
          <w:tcPr>
            <w:tcW w:type="dxa" w:w="226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r>
      <w:tr>
        <w:tc>
          <w:tcPr>
            <w:tcW w:type="dxa" w:w="63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5</w:t>
            </w:r>
          </w:p>
        </w:tc>
        <w:tc>
          <w:tcPr>
            <w:tcW w:type="dxa" w:w="3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Top 15 hospitales (≥30 casos C16.*)</w:t>
            </w:r>
          </w:p>
        </w:tc>
        <w:tc>
          <w:tcPr>
            <w:tcW w:type="dxa" w:w="226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9.855</w:t>
            </w:r>
          </w:p>
        </w:tc>
        <w:tc>
          <w:tcPr>
            <w:tcW w:type="dxa" w:w="226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2E4DAA"/>
          <w:sz w:val="24"/>
          <w:szCs w:val="24"/>
        </w:rPr>
        <w:t xml:space="preserve">4.1 Decisiones metodológicas justificadas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Elección P99 (no P95 ni P99.9):</w:t>
      </w:r>
      <w:r>
        <w:rPr>
          <w:rFonts w:ascii="Times New Roman" w:cs="Times New Roman" w:eastAsia="Times New Roman" w:hAnsi="Times New Roman"/>
          <w:sz w:val="24"/>
          <w:szCs w:val="24"/>
        </w:rPr>
        <w:t xml:space="preserve"> Elección P99 (no P95 ni P99.9):</w:t>
      </w:r>
    </w:p>
    <w:p>
      <w:pPr>
        <w:spacing w:after="120" w:before="0" w:line="360"/>
        <w:ind w:left="720"/>
        <w:jc w:val="both"/>
      </w:pPr>
      <w:r>
        <w:rPr>
          <w:rFonts w:ascii="Times New Roman" w:cs="Times New Roman" w:eastAsia="Times New Roman" w:hAnsi="Times New Roman"/>
          <w:sz w:val="24"/>
          <w:szCs w:val="24"/>
        </w:rPr>
        <w:t xml:space="preserve">El percentil 99 (=25 días) excluye hospitalizaciones excepcionales sin sesgar la distribución para pacientes oncológicos con estadías largas pero clínicamente típicas. Un corte más agresivo (P95) eliminaría casos relevantes; uno más laxo (P99.9) mantendría valores extremos que distorsionan los modelos.</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Exclusión obstétrica:</w:t>
      </w:r>
      <w:r>
        <w:rPr>
          <w:rFonts w:ascii="Times New Roman" w:cs="Times New Roman" w:eastAsia="Times New Roman" w:hAnsi="Times New Roman"/>
          <w:sz w:val="24"/>
          <w:szCs w:val="24"/>
        </w:rPr>
        <w:t xml:space="preserve"> Exclusión obstétrica:</w:t>
      </w:r>
    </w:p>
    <w:p>
      <w:pPr>
        <w:spacing w:after="120" w:before="0" w:line="360"/>
        <w:ind w:left="720"/>
        <w:jc w:val="both"/>
      </w:pPr>
      <w:r>
        <w:rPr>
          <w:rFonts w:ascii="Times New Roman" w:cs="Times New Roman" w:eastAsia="Times New Roman" w:hAnsi="Times New Roman"/>
          <w:sz w:val="24"/>
          <w:szCs w:val="24"/>
        </w:rPr>
        <w:t xml:space="preserve">Los egresos obstétricos tienen lógica clínica incomparable con el cáncer gástrico; incluirlos sesgaría los perfiles de procedimientos y severidad.</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Variable comorbilidad:</w:t>
      </w:r>
      <w:r>
        <w:rPr>
          <w:rFonts w:ascii="Times New Roman" w:cs="Times New Roman" w:eastAsia="Times New Roman" w:hAnsi="Times New Roman"/>
          <w:sz w:val="24"/>
          <w:szCs w:val="24"/>
        </w:rPr>
        <w:t xml:space="preserve"> Variable comorbilidad:</w:t>
      </w:r>
    </w:p>
    <w:p>
      <w:pPr>
        <w:spacing w:after="120" w:before="0" w:line="360"/>
        <w:ind w:left="720"/>
        <w:jc w:val="both"/>
      </w:pPr>
      <w:r>
        <w:rPr>
          <w:rFonts w:ascii="Times New Roman" w:cs="Times New Roman" w:eastAsia="Times New Roman" w:hAnsi="Times New Roman"/>
          <w:sz w:val="24"/>
          <w:szCs w:val="24"/>
        </w:rPr>
        <w:t xml:space="preserve">Conteo de diagnósticos secundarios activos (campos DIAG2–DIAG35, excluyendo el diagnóstico principal) como proxy simplificado del índice Charlson-Deyo.</w:t>
      </w:r>
    </w:p>
    <w:p>
      <w:pPr>
        <w:pStyle w:val="ListParagraph"/>
        <w:numPr>
          <w:ilvl w:val="0"/>
          <w:numId w:val="2"/>
        </w:numPr>
        <w:spacing w:after="60" w:before="60" w:line="360"/>
      </w:pPr>
      <w:r>
        <w:rPr>
          <w:rFonts w:ascii="Times New Roman" w:cs="Times New Roman" w:eastAsia="Times New Roman" w:hAnsi="Times New Roman"/>
          <w:b/>
          <w:bCs/>
          <w:sz w:val="24"/>
          <w:szCs w:val="24"/>
        </w:rPr>
        <w:t xml:space="preserve">Transformación logarítmica:</w:t>
      </w:r>
      <w:r>
        <w:rPr>
          <w:rFonts w:ascii="Times New Roman" w:cs="Times New Roman" w:eastAsia="Times New Roman" w:hAnsi="Times New Roman"/>
          <w:sz w:val="24"/>
          <w:szCs w:val="24"/>
        </w:rPr>
        <w:t xml:space="preserve"> Transformación logarítmica:</w:t>
      </w:r>
    </w:p>
    <w:p>
      <w:pPr>
        <w:spacing w:after="160" w:before="0" w:line="360"/>
        <w:ind w:left="720"/>
        <w:jc w:val="both"/>
      </w:pPr>
      <w:r>
        <w:rPr>
          <w:rFonts w:ascii="Times New Roman" w:cs="Times New Roman" w:eastAsia="Times New Roman" w:hAnsi="Times New Roman"/>
          <w:sz w:val="24"/>
          <w:szCs w:val="24"/>
        </w:rPr>
        <w:t xml:space="preserve">log_dias = log(1 + dias_estada) justificada por asimetría &gt;1.63 en la distribución original; la transformación reduce la asimetría a −0.32.</w:t>
      </w:r>
    </w:p>
    <w:p>
      <w:pPr>
        <w:spacing w:after="160" w:before="0" w:line="360"/>
        <w:jc w:val="both"/>
      </w:pPr>
      <w:r>
        <w:rPr>
          <w:rFonts w:ascii="Times New Roman" w:cs="Times New Roman" w:eastAsia="Times New Roman" w:hAnsi="Times New Roman"/>
          <w:sz w:val="24"/>
          <w:szCs w:val="24"/>
        </w:rPr>
        <w:t xml:space="preserve"/>
      </w:r>
    </w:p>
    <w:p>
      <w:pPr>
        <w:pStyle w:val="Heading1"/>
        <w:pBdr>
          <w:bottom w:val="single" w:color="1F497D" w:sz="6"/>
        </w:pBdr>
        <w:spacing w:after="180" w:before="360"/>
      </w:pPr>
      <w:r>
        <w:rPr>
          <w:rFonts w:ascii="Times New Roman" w:cs="Times New Roman" w:eastAsia="Times New Roman" w:hAnsi="Times New Roman"/>
          <w:b/>
          <w:bCs/>
          <w:color w:val="1F497D"/>
          <w:sz w:val="28"/>
          <w:szCs w:val="28"/>
        </w:rPr>
        <w:t xml:space="preserve">5. Análisis Exploratorio de Datos (EDA)</w:t>
      </w:r>
    </w:p>
    <w:p>
      <w:pPr>
        <w:pStyle w:val="Heading2"/>
        <w:spacing w:after="120" w:before="240"/>
      </w:pPr>
      <w:r>
        <w:rPr>
          <w:rFonts w:ascii="Times New Roman" w:cs="Times New Roman" w:eastAsia="Times New Roman" w:hAnsi="Times New Roman"/>
          <w:b/>
          <w:bCs/>
          <w:color w:val="2E4DAA"/>
          <w:sz w:val="24"/>
          <w:szCs w:val="24"/>
        </w:rPr>
        <w:t xml:space="preserve">5.1 Estadística descriptiva</w:t>
      </w:r>
    </w:p>
    <w:p>
      <w:pPr>
        <w:spacing w:after="160" w:before="0" w:line="360"/>
        <w:jc w:val="both"/>
      </w:pPr>
      <w:r>
        <w:rPr>
          <w:rFonts w:ascii="Times New Roman" w:cs="Times New Roman" w:eastAsia="Times New Roman" w:hAnsi="Times New Roman"/>
          <w:sz w:val="24"/>
          <w:szCs w:val="24"/>
        </w:rPr>
        <w:t xml:space="preserve">La Tabla 3 presenta las estadísticas descriptivas comparadas entre el universo oncológico C00–D49 y el subconjunto de cáncer gástrico C16.*.</w:t>
      </w:r>
    </w:p>
    <w:p>
      <w:pPr>
        <w:spacing w:after="60" w:before="120"/>
        <w:jc w:val="left"/>
      </w:pPr>
      <w:r>
        <w:rPr>
          <w:rFonts w:ascii="Times New Roman" w:cs="Times New Roman" w:eastAsia="Times New Roman" w:hAnsi="Times New Roman"/>
          <w:b/>
          <w:bCs/>
          <w:sz w:val="20"/>
          <w:szCs w:val="20"/>
        </w:rPr>
        <w:t xml:space="preserve">Tabla 3. Estadísticas descriptivas del estudio. *Restringido a top 15 hospitales (≥30 egresos C16.* cada uno).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900"/>
        <w:gridCol w:w="2585"/>
        <w:gridCol w:w="2585"/>
      </w:tblGrid>
      <w:tr>
        <w:tc>
          <w:tcPr>
            <w:tcW w:type="dxa" w:w="3900"/>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Variable</w:t>
            </w:r>
          </w:p>
        </w:tc>
        <w:tc>
          <w:tcPr>
            <w:tcW w:type="dxa" w:w="2585"/>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C00–D49 (n=421.824)</w:t>
            </w:r>
          </w:p>
        </w:tc>
        <w:tc>
          <w:tcPr>
            <w:tcW w:type="dxa" w:w="2585"/>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C16.* (n=9.855*)</w:t>
            </w:r>
          </w:p>
        </w:tc>
      </w:tr>
      <w:tr>
        <w:tc>
          <w:tcPr>
            <w:tcW w:type="dxa" w:w="3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Edad, media ± DE (años)</w:t>
            </w:r>
          </w:p>
        </w:tc>
        <w:tc>
          <w:tcPr>
            <w:tcW w:type="dxa" w:w="258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59.8 ± 15.4</w:t>
            </w:r>
          </w:p>
        </w:tc>
        <w:tc>
          <w:tcPr>
            <w:tcW w:type="dxa" w:w="258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63.2 ± 13.1</w:t>
            </w:r>
          </w:p>
        </w:tc>
      </w:tr>
      <w:tr>
        <w:tc>
          <w:tcPr>
            <w:tcW w:type="dxa" w:w="3900"/>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Sexo masculino (%)</w:t>
            </w:r>
          </w:p>
        </w:tc>
        <w:tc>
          <w:tcPr>
            <w:tcW w:type="dxa" w:w="258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48.1</w:t>
            </w:r>
          </w:p>
        </w:tc>
        <w:tc>
          <w:tcPr>
            <w:tcW w:type="dxa" w:w="258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60.3</w:t>
            </w:r>
          </w:p>
        </w:tc>
      </w:tr>
      <w:tr>
        <w:tc>
          <w:tcPr>
            <w:tcW w:type="dxa" w:w="3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Días estadía, mediana [IQR]</w:t>
            </w:r>
          </w:p>
        </w:tc>
        <w:tc>
          <w:tcPr>
            <w:tcW w:type="dxa" w:w="258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5 [2–10]</w:t>
            </w:r>
          </w:p>
        </w:tc>
        <w:tc>
          <w:tcPr>
            <w:tcW w:type="dxa" w:w="258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7 [3–12]</w:t>
            </w:r>
          </w:p>
        </w:tc>
      </w:tr>
      <w:tr>
        <w:tc>
          <w:tcPr>
            <w:tcW w:type="dxa" w:w="3900"/>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Procedimientos, mediana [IQR]</w:t>
            </w:r>
          </w:p>
        </w:tc>
        <w:tc>
          <w:tcPr>
            <w:tcW w:type="dxa" w:w="258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2 [1–4]</w:t>
            </w:r>
          </w:p>
        </w:tc>
        <w:tc>
          <w:tcPr>
            <w:tcW w:type="dxa" w:w="258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3 [1–6]</w:t>
            </w:r>
          </w:p>
        </w:tc>
      </w:tr>
      <w:tr>
        <w:tc>
          <w:tcPr>
            <w:tcW w:type="dxa" w:w="3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Severidad GRD, media ± DE</w:t>
            </w:r>
          </w:p>
        </w:tc>
        <w:tc>
          <w:tcPr>
            <w:tcW w:type="dxa" w:w="258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1.82 ± 0.91</w:t>
            </w:r>
          </w:p>
        </w:tc>
        <w:tc>
          <w:tcPr>
            <w:tcW w:type="dxa" w:w="258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2.14 ± 0.88</w:t>
            </w:r>
          </w:p>
        </w:tc>
      </w:tr>
      <w:tr>
        <w:tc>
          <w:tcPr>
            <w:tcW w:type="dxa" w:w="3900"/>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Peso GRD, media ± DE</w:t>
            </w:r>
          </w:p>
        </w:tc>
        <w:tc>
          <w:tcPr>
            <w:tcW w:type="dxa" w:w="258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1.31 ± 1.02</w:t>
            </w:r>
          </w:p>
        </w:tc>
        <w:tc>
          <w:tcPr>
            <w:tcW w:type="dxa" w:w="258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1.68 ± 1.24</w:t>
            </w:r>
          </w:p>
        </w:tc>
      </w:tr>
      <w:tr>
        <w:tc>
          <w:tcPr>
            <w:tcW w:type="dxa" w:w="3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Comorbilidades, media ± DE</w:t>
            </w:r>
          </w:p>
        </w:tc>
        <w:tc>
          <w:tcPr>
            <w:tcW w:type="dxa" w:w="258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1.43 ± 1.78</w:t>
            </w:r>
          </w:p>
        </w:tc>
        <w:tc>
          <w:tcPr>
            <w:tcW w:type="dxa" w:w="258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1.61 ± 1.84</w:t>
            </w:r>
          </w:p>
        </w:tc>
      </w:tr>
      <w:tr>
        <w:tc>
          <w:tcPr>
            <w:tcW w:type="dxa" w:w="3900"/>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Ingreso urgencia (%)</w:t>
            </w:r>
          </w:p>
        </w:tc>
        <w:tc>
          <w:tcPr>
            <w:tcW w:type="dxa" w:w="258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38.9</w:t>
            </w:r>
          </w:p>
        </w:tc>
        <w:tc>
          <w:tcPr>
            <w:tcW w:type="dxa" w:w="258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42.7</w:t>
            </w:r>
          </w:p>
        </w:tc>
      </w:tr>
      <w:tr>
        <w:tc>
          <w:tcPr>
            <w:tcW w:type="dxa" w:w="3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Mortalidad intrahospitalaria (%)</w:t>
            </w:r>
          </w:p>
        </w:tc>
        <w:tc>
          <w:tcPr>
            <w:tcW w:type="dxa" w:w="258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2.31</w:t>
            </w:r>
          </w:p>
        </w:tc>
        <w:tc>
          <w:tcPr>
            <w:tcW w:type="dxa" w:w="258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4.05</w:t>
            </w:r>
          </w:p>
        </w:tc>
      </w:tr>
    </w:tbl>
    <w:p>
      <w:pPr>
        <w:spacing w:after="160" w:before="0" w:line="36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Los pacientes con cáncer gástrico presentan: mayor edad promedio (+3.4 años), mayor proporción masculina (+12.2 pp), estadías más largas (+2 días en mediana), mayor intensidad terapéutica (+1 procedimiento mediano), mayor severidad clínica (2.14 vs. 1.82) y tasa de mortalidad casi el doble que el universo oncológico general (4.05% vs. 2.31%). Este perfil es consistente con un cáncer de presentación tardía y alta carga de enfermedad.</w:t>
      </w:r>
    </w:p>
    <w:p>
      <w:pPr>
        <w:pStyle w:val="Heading2"/>
        <w:spacing w:after="120" w:before="240"/>
      </w:pPr>
      <w:r>
        <w:rPr>
          <w:rFonts w:ascii="Times New Roman" w:cs="Times New Roman" w:eastAsia="Times New Roman" w:hAnsi="Times New Roman"/>
          <w:b/>
          <w:bCs/>
          <w:color w:val="2E4DAA"/>
          <w:sz w:val="24"/>
          <w:szCs w:val="24"/>
        </w:rPr>
        <w:t xml:space="preserve">5.2 Visualizaciones exploratorias (Figuras 1–6)</w:t>
      </w:r>
    </w:p>
    <w:p>
      <w:pPr>
        <w:pStyle w:val="ListParagraph"/>
        <w:numPr>
          <w:ilvl w:val="0"/>
          <w:numId w:val="2"/>
        </w:numPr>
        <w:spacing w:after="60" w:before="60" w:line="360"/>
      </w:pPr>
      <w:r>
        <w:rPr>
          <w:rFonts w:ascii="Times New Roman" w:cs="Times New Roman" w:eastAsia="Times New Roman" w:hAnsi="Times New Roman"/>
          <w:sz w:val="24"/>
          <w:szCs w:val="24"/>
        </w:rPr>
        <w:t xml:space="preserve">Figura 1 (distribuciones univariadas): dias_estada y cantidad_procedimientos muestran fuerte asimetría positiva, justificando la transformación logarítmica y el uso de tests no paramétricos.</w:t>
      </w:r>
    </w:p>
    <w:p>
      <w:pPr>
        <w:pStyle w:val="ListParagraph"/>
        <w:numPr>
          <w:ilvl w:val="0"/>
          <w:numId w:val="2"/>
        </w:numPr>
        <w:spacing w:after="60" w:before="60" w:line="360"/>
      </w:pPr>
      <w:r>
        <w:rPr>
          <w:rFonts w:ascii="Times New Roman" w:cs="Times New Roman" w:eastAsia="Times New Roman" w:hAnsi="Times New Roman"/>
          <w:sz w:val="24"/>
          <w:szCs w:val="24"/>
        </w:rPr>
        <w:t xml:space="preserve">Figura 2 (correlación de Pearson): Correlación positiva procedimientos–días estadía (r ≈ 0.55), motivando H₃. Correlación moderada severidad–días estadía (r ≈ 0.48).</w:t>
      </w:r>
    </w:p>
    <w:p>
      <w:pPr>
        <w:pStyle w:val="ListParagraph"/>
        <w:numPr>
          <w:ilvl w:val="0"/>
          <w:numId w:val="2"/>
        </w:numPr>
        <w:spacing w:after="60" w:before="60" w:line="360"/>
      </w:pPr>
      <w:r>
        <w:rPr>
          <w:rFonts w:ascii="Times New Roman" w:cs="Times New Roman" w:eastAsia="Times New Roman" w:hAnsi="Times New Roman"/>
          <w:sz w:val="24"/>
          <w:szCs w:val="24"/>
        </w:rPr>
        <w:t xml:space="preserve">Figura 3 (boxplot días por hospital): La mediana de días varía de 3 a 9 días entre hospitales para el mismo diagnóstico — hallazgo visual central del estudio.</w:t>
      </w:r>
    </w:p>
    <w:p>
      <w:pPr>
        <w:pStyle w:val="ListParagraph"/>
        <w:numPr>
          <w:ilvl w:val="0"/>
          <w:numId w:val="2"/>
        </w:numPr>
        <w:spacing w:after="60" w:before="60" w:line="360"/>
      </w:pPr>
      <w:r>
        <w:rPr>
          <w:rFonts w:ascii="Times New Roman" w:cs="Times New Roman" w:eastAsia="Times New Roman" w:hAnsi="Times New Roman"/>
          <w:sz w:val="24"/>
          <w:szCs w:val="24"/>
        </w:rPr>
        <w:t xml:space="preserve">Figura 4 (mortalidad por hospital): Diferencia de hasta 12 puntos porcentuales entre el hospital con menor y mayor mortalidad intrahospitalaria.</w:t>
      </w:r>
    </w:p>
    <w:p>
      <w:pPr>
        <w:pStyle w:val="ListParagraph"/>
        <w:numPr>
          <w:ilvl w:val="0"/>
          <w:numId w:val="2"/>
        </w:numPr>
        <w:spacing w:after="60" w:before="60" w:line="360"/>
      </w:pPr>
      <w:r>
        <w:rPr>
          <w:rFonts w:ascii="Times New Roman" w:cs="Times New Roman" w:eastAsia="Times New Roman" w:hAnsi="Times New Roman"/>
          <w:sz w:val="24"/>
          <w:szCs w:val="24"/>
        </w:rPr>
        <w:t xml:space="preserve">Figura 5 (procedimientos por hospital): Diferencia de hasta 6 procedimientos promedio entre hospitales para el mismo diagnóstico.</w:t>
      </w:r>
    </w:p>
    <w:p>
      <w:pPr>
        <w:pStyle w:val="ListParagraph"/>
        <w:numPr>
          <w:ilvl w:val="0"/>
          <w:numId w:val="2"/>
        </w:numPr>
        <w:spacing w:after="60" w:before="60" w:line="360"/>
      </w:pPr>
      <w:r>
        <w:rPr>
          <w:rFonts w:ascii="Times New Roman" w:cs="Times New Roman" w:eastAsia="Times New Roman" w:hAnsi="Times New Roman"/>
          <w:sz w:val="24"/>
          <w:szCs w:val="24"/>
        </w:rPr>
        <w:t xml:space="preserve">Figura 6 (urgencias por sexo): Los hombres representan ~60% de los ingresos; los ingresos de urgencia concentran mortalidad 13 veces mayor que los programados (13.9% vs. 1.1%).</w:t>
      </w:r>
    </w:p>
    <w:p>
      <w:pPr>
        <w:pStyle w:val="Heading2"/>
        <w:spacing w:after="120" w:before="240"/>
      </w:pPr>
      <w:r>
        <w:rPr>
          <w:rFonts w:ascii="Times New Roman" w:cs="Times New Roman" w:eastAsia="Times New Roman" w:hAnsi="Times New Roman"/>
          <w:b/>
          <w:bCs/>
          <w:color w:val="2E4DAA"/>
          <w:sz w:val="24"/>
          <w:szCs w:val="24"/>
        </w:rPr>
        <w:t xml:space="preserve">5.3 Relaciones bivariadas relevantes</w:t>
      </w:r>
    </w:p>
    <w:p>
      <w:pPr>
        <w:spacing w:after="160" w:before="0" w:line="360"/>
        <w:jc w:val="both"/>
      </w:pPr>
      <w:r>
        <w:rPr>
          <w:rFonts w:ascii="Times New Roman" w:cs="Times New Roman" w:eastAsia="Times New Roman" w:hAnsi="Times New Roman"/>
          <w:sz w:val="24"/>
          <w:szCs w:val="24"/>
        </w:rPr>
        <w:t xml:space="preserve">Mortalidad × Tipo de ingreso (Escenario B): diferencia de 12.86 pp entre urgencia y programada — el hallazgo bivariado más fuerte del EDA (χ²=849.1, p&lt;0.001). Mortalidad × Sexo (Escenario A): tendencia a mayor mortalidad en hombres (OR ≈ 1.2, no significativa al 5%). Tipo de alta × Hospital (Escenario C): residuos estandarizados revelan perfiles institucionales diferenciados (χ²=1.247, p&lt;0.001).</w:t>
      </w:r>
    </w:p>
    <w:p>
      <w:pPr>
        <w:spacing w:after="160" w:before="0" w:line="360"/>
        <w:jc w:val="both"/>
      </w:pPr>
      <w:r>
        <w:rPr>
          <w:rFonts w:ascii="Times New Roman" w:cs="Times New Roman" w:eastAsia="Times New Roman" w:hAnsi="Times New Roman"/>
          <w:sz w:val="24"/>
          <w:szCs w:val="24"/>
        </w:rPr>
        <w:t xml:space="preserve"/>
      </w:r>
    </w:p>
    <w:p>
      <w:pPr>
        <w:pStyle w:val="Heading1"/>
        <w:pBdr>
          <w:bottom w:val="single" w:color="1F497D" w:sz="6"/>
        </w:pBdr>
        <w:spacing w:after="180" w:before="360"/>
      </w:pPr>
      <w:r>
        <w:rPr>
          <w:rFonts w:ascii="Times New Roman" w:cs="Times New Roman" w:eastAsia="Times New Roman" w:hAnsi="Times New Roman"/>
          <w:b/>
          <w:bCs/>
          <w:color w:val="1F497D"/>
          <w:sz w:val="28"/>
          <w:szCs w:val="28"/>
        </w:rPr>
        <w:t xml:space="preserve">6. Análisis Inferencial y Modelos</w:t>
      </w:r>
    </w:p>
    <w:p>
      <w:pPr>
        <w:pStyle w:val="Heading2"/>
        <w:spacing w:after="120" w:before="240"/>
      </w:pPr>
      <w:r>
        <w:rPr>
          <w:rFonts w:ascii="Times New Roman" w:cs="Times New Roman" w:eastAsia="Times New Roman" w:hAnsi="Times New Roman"/>
          <w:b/>
          <w:bCs/>
          <w:color w:val="2E4DAA"/>
          <w:sz w:val="24"/>
          <w:szCs w:val="24"/>
        </w:rPr>
        <w:t xml:space="preserve">6.1 Tests chi-cuadrado — Asociaciones categóricas</w:t>
      </w:r>
    </w:p>
    <w:p>
      <w:pPr>
        <w:spacing w:after="60" w:before="120"/>
        <w:jc w:val="left"/>
      </w:pPr>
      <w:r>
        <w:rPr>
          <w:rFonts w:ascii="Times New Roman" w:cs="Times New Roman" w:eastAsia="Times New Roman" w:hAnsi="Times New Roman"/>
          <w:b/>
          <w:bCs/>
          <w:sz w:val="20"/>
          <w:szCs w:val="20"/>
        </w:rPr>
        <w:t xml:space="preserve">Tabla 4. Resultados de los tres tests chi-cuadrado exploratorios.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2721"/>
        <w:gridCol w:w="1361"/>
        <w:gridCol w:w="907"/>
        <w:gridCol w:w="1361"/>
        <w:gridCol w:w="1814"/>
      </w:tblGrid>
      <w:tr>
        <w:tc>
          <w:tcPr>
            <w:tcW w:type="dxa" w:w="907"/>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Esc.</w:t>
            </w:r>
          </w:p>
        </w:tc>
        <w:tc>
          <w:tcPr>
            <w:tcW w:type="dxa" w:w="2721"/>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Variables</w:t>
            </w:r>
          </w:p>
        </w:tc>
        <w:tc>
          <w:tcPr>
            <w:tcW w:type="dxa" w:w="1361"/>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χ²</w:t>
            </w:r>
          </w:p>
        </w:tc>
        <w:tc>
          <w:tcPr>
            <w:tcW w:type="dxa" w:w="907"/>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df</w:t>
            </w:r>
          </w:p>
        </w:tc>
        <w:tc>
          <w:tcPr>
            <w:tcW w:type="dxa" w:w="1361"/>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p-valor</w:t>
            </w:r>
          </w:p>
        </w:tc>
        <w:tc>
          <w:tcPr>
            <w:tcW w:type="dxa" w:w="1814"/>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Decisión</w:t>
            </w:r>
          </w:p>
        </w:tc>
      </w:tr>
      <w:tr>
        <w:tc>
          <w:tcPr>
            <w:tcW w:type="dxa" w:w="90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A</w:t>
            </w:r>
          </w:p>
        </w:tc>
        <w:tc>
          <w:tcPr>
            <w:tcW w:type="dxa" w:w="272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Mortalidad × Sexo</w:t>
            </w:r>
          </w:p>
        </w:tc>
        <w:tc>
          <w:tcPr>
            <w:tcW w:type="dxa" w:w="136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3.84</w:t>
            </w:r>
          </w:p>
        </w:tc>
        <w:tc>
          <w:tcPr>
            <w:tcW w:type="dxa" w:w="90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w:t>
            </w:r>
          </w:p>
        </w:tc>
        <w:tc>
          <w:tcPr>
            <w:tcW w:type="dxa" w:w="136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0.050</w:t>
            </w:r>
          </w:p>
        </w:tc>
        <w:tc>
          <w:tcPr>
            <w:tcW w:type="dxa" w:w="181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Marginal</w:t>
            </w:r>
          </w:p>
        </w:tc>
      </w:tr>
      <w:tr>
        <w:tc>
          <w:tcPr>
            <w:tcW w:type="dxa" w:w="90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B</w:t>
            </w:r>
          </w:p>
        </w:tc>
        <w:tc>
          <w:tcPr>
            <w:tcW w:type="dxa" w:w="2721"/>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Mortalidad × Tipo ingreso</w:t>
            </w:r>
          </w:p>
        </w:tc>
        <w:tc>
          <w:tcPr>
            <w:tcW w:type="dxa" w:w="1361"/>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849.1</w:t>
            </w:r>
          </w:p>
        </w:tc>
        <w:tc>
          <w:tcPr>
            <w:tcW w:type="dxa" w:w="90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1</w:t>
            </w:r>
          </w:p>
        </w:tc>
        <w:tc>
          <w:tcPr>
            <w:tcW w:type="dxa" w:w="1361"/>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&lt;0.001</w:t>
            </w:r>
          </w:p>
        </w:tc>
        <w:tc>
          <w:tcPr>
            <w:tcW w:type="dxa" w:w="1814"/>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Se rechaza H₀</w:t>
            </w:r>
          </w:p>
        </w:tc>
      </w:tr>
      <w:tr>
        <w:tc>
          <w:tcPr>
            <w:tcW w:type="dxa" w:w="90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C</w:t>
            </w:r>
          </w:p>
        </w:tc>
        <w:tc>
          <w:tcPr>
            <w:tcW w:type="dxa" w:w="272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Tipo alta × Hospital (top 10)</w:t>
            </w:r>
          </w:p>
        </w:tc>
        <w:tc>
          <w:tcPr>
            <w:tcW w:type="dxa" w:w="136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1.247</w:t>
            </w:r>
          </w:p>
        </w:tc>
        <w:tc>
          <w:tcPr>
            <w:tcW w:type="dxa" w:w="90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27</w:t>
            </w:r>
          </w:p>
        </w:tc>
        <w:tc>
          <w:tcPr>
            <w:tcW w:type="dxa" w:w="136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&lt;0.001</w:t>
            </w:r>
          </w:p>
        </w:tc>
        <w:tc>
          <w:tcPr>
            <w:tcW w:type="dxa" w:w="181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Se rechaza H₀</w:t>
            </w:r>
          </w:p>
        </w:tc>
      </w:tr>
    </w:tbl>
    <w:p>
      <w:pPr>
        <w:spacing w:after="160" w:before="0" w:line="360"/>
        <w:jc w:val="both"/>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2E4DAA"/>
          <w:sz w:val="24"/>
          <w:szCs w:val="24"/>
        </w:rPr>
        <w:t xml:space="preserve">6.2 Hipótesis 1 — Kruskal-Wallis + Dunn-Bonferroni</w:t>
      </w:r>
    </w:p>
    <w:p>
      <w:pPr>
        <w:spacing w:after="160" w:before="0" w:line="360"/>
        <w:jc w:val="both"/>
      </w:pPr>
      <w:r>
        <w:rPr>
          <w:rFonts w:ascii="Times New Roman" w:cs="Times New Roman" w:eastAsia="Times New Roman" w:hAnsi="Times New Roman"/>
          <w:sz w:val="24"/>
          <w:szCs w:val="24"/>
        </w:rPr>
        <w:t xml:space="preserve">Justificación: El test Shapiro-Wilk rechazó la normalidad de cantidad_procedimientos (W=0.922, p&lt;0.001), justificando el uso de Kruskal-Wallis en lugar de ANOVA.</w:t>
      </w:r>
    </w:p>
    <w:p>
      <w:pPr>
        <w:spacing w:after="160" w:before="0" w:line="360"/>
        <w:jc w:val="both"/>
      </w:pPr>
      <w:r>
        <w:rPr>
          <w:rFonts w:ascii="Times New Roman" w:cs="Times New Roman" w:eastAsia="Times New Roman" w:hAnsi="Times New Roman"/>
          <w:sz w:val="24"/>
          <w:szCs w:val="24"/>
        </w:rPr>
        <w:t xml:space="preserve">Resultados: El test Kruskal-Wallis sobre los 25 hospitales de mayor volumen (N=14.283) arrojó H(24)=412.3, p&lt;0.001, con ε²=0.08 (efecto medio-grande). El análisis post-hoc Dunn-Bonferroni identificó diferencias estadísticamente significativas en el 61.8% de todos los pares de hospitales. La variabilidad procedimental es estructural y no concentrada en uno o dos establecimientos atípicos: refleja heterogeneidad sistémica en la intensidad de tratamiento del sistema público chileno.</w:t>
      </w:r>
    </w:p>
    <w:p>
      <w:pPr>
        <w:spacing w:after="160" w:before="0" w:line="360"/>
        <w:jc w:val="both"/>
      </w:pPr>
      <w:r>
        <w:rPr>
          <w:rFonts w:ascii="Times New Roman" w:cs="Times New Roman" w:eastAsia="Times New Roman" w:hAnsi="Times New Roman"/>
          <w:sz w:val="24"/>
          <w:szCs w:val="24"/>
        </w:rPr>
        <w:t xml:space="preserve">Interpretación clínica: Un paciente con cáncer gástrico del mismo nivel de severidad recibe, en promedio, un número significativamente distinto de procedimientos dependiendo del hospital donde es atendido. Esta variabilidad no justificada tiene implicaciones directas para los resultados clínicos y la equidad en salud.</w:t>
      </w:r>
    </w:p>
    <w:p>
      <w:pPr>
        <w:pStyle w:val="Heading2"/>
        <w:spacing w:after="120" w:before="240"/>
      </w:pPr>
      <w:r>
        <w:rPr>
          <w:rFonts w:ascii="Times New Roman" w:cs="Times New Roman" w:eastAsia="Times New Roman" w:hAnsi="Times New Roman"/>
          <w:b/>
          <w:bCs/>
          <w:color w:val="2E4DAA"/>
          <w:sz w:val="24"/>
          <w:szCs w:val="24"/>
        </w:rPr>
        <w:t xml:space="preserve">6.3 Hipótesis 2 — Regresión Logística (mortalidad intrahospitalaria)</w:t>
      </w:r>
    </w:p>
    <w:p>
      <w:pPr>
        <w:spacing w:after="160" w:before="0" w:line="360"/>
        <w:jc w:val="both"/>
      </w:pPr>
      <w:r>
        <w:rPr>
          <w:rFonts w:ascii="Times New Roman" w:cs="Times New Roman" w:eastAsia="Times New Roman" w:hAnsi="Times New Roman"/>
          <w:sz w:val="24"/>
          <w:szCs w:val="24"/>
        </w:rPr>
        <w:t xml:space="preserve">Especificación del modelo:</w:t>
      </w:r>
    </w:p>
    <w:p>
      <w:pPr>
        <w:spacing w:after="180" w:before="120"/>
        <w:ind w:left="720"/>
      </w:pPr>
      <w:r>
        <w:rPr>
          <w:rFonts w:ascii="Courier New" w:cs="Courier New" w:eastAsia="Courier New" w:hAnsi="Courier New"/>
          <w:sz w:val="22"/>
          <w:szCs w:val="22"/>
        </w:rPr>
        <w:t xml:space="preserve">logit[Pr(mortalidad)] = β₀ + β₁·proc + β₂·edad + β₃·sev + β₄·peso + β₅·comorb + γ·C(hospital)</w:t>
      </w:r>
    </w:p>
    <w:p>
      <w:pPr>
        <w:spacing w:after="60" w:before="120"/>
        <w:jc w:val="left"/>
      </w:pPr>
      <w:r>
        <w:rPr>
          <w:rFonts w:ascii="Times New Roman" w:cs="Times New Roman" w:eastAsia="Times New Roman" w:hAnsi="Times New Roman"/>
          <w:b/>
          <w:bCs/>
          <w:sz w:val="20"/>
          <w:szCs w:val="20"/>
        </w:rPr>
        <w:t xml:space="preserve">Tabla 5. Odds ratios — Regresión logística multivariable para mortalidad intrahospitalaria (H₂).</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809"/>
        <w:gridCol w:w="1361"/>
        <w:gridCol w:w="1995"/>
        <w:gridCol w:w="1905"/>
      </w:tblGrid>
      <w:tr>
        <w:tc>
          <w:tcPr>
            <w:tcW w:type="dxa" w:w="3809"/>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Predictor</w:t>
            </w:r>
          </w:p>
        </w:tc>
        <w:tc>
          <w:tcPr>
            <w:tcW w:type="dxa" w:w="1361"/>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OR</w:t>
            </w:r>
          </w:p>
        </w:tc>
        <w:tc>
          <w:tcPr>
            <w:tcW w:type="dxa" w:w="1995"/>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IC 95%</w:t>
            </w:r>
          </w:p>
        </w:tc>
        <w:tc>
          <w:tcPr>
            <w:tcW w:type="dxa" w:w="1905"/>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p-valor</w:t>
            </w:r>
          </w:p>
        </w:tc>
      </w:tr>
      <w:tr>
        <w:tc>
          <w:tcPr>
            <w:tcW w:type="dxa" w:w="3809"/>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Procedimientos (por unidad)</w:t>
            </w:r>
          </w:p>
        </w:tc>
        <w:tc>
          <w:tcPr>
            <w:tcW w:type="dxa" w:w="136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1.05</w:t>
            </w:r>
          </w:p>
        </w:tc>
        <w:tc>
          <w:tcPr>
            <w:tcW w:type="dxa" w:w="199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1.02–1.08</w:t>
            </w:r>
          </w:p>
        </w:tc>
        <w:tc>
          <w:tcPr>
            <w:tcW w:type="dxa" w:w="190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&lt;0.001</w:t>
            </w:r>
          </w:p>
        </w:tc>
      </w:tr>
      <w:tr>
        <w:tc>
          <w:tcPr>
            <w:tcW w:type="dxa" w:w="3809"/>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Edad (por año)</w:t>
            </w:r>
          </w:p>
        </w:tc>
        <w:tc>
          <w:tcPr>
            <w:tcW w:type="dxa" w:w="1361"/>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1.01</w:t>
            </w:r>
          </w:p>
        </w:tc>
        <w:tc>
          <w:tcPr>
            <w:tcW w:type="dxa" w:w="199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0.99–1.02</w:t>
            </w:r>
          </w:p>
        </w:tc>
        <w:tc>
          <w:tcPr>
            <w:tcW w:type="dxa" w:w="190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0.341</w:t>
            </w:r>
          </w:p>
        </w:tc>
      </w:tr>
      <w:tr>
        <w:tc>
          <w:tcPr>
            <w:tcW w:type="dxa" w:w="3809"/>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Severidad GRD (por nivel)</w:t>
            </w:r>
          </w:p>
        </w:tc>
        <w:tc>
          <w:tcPr>
            <w:tcW w:type="dxa" w:w="136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6.12</w:t>
            </w:r>
          </w:p>
        </w:tc>
        <w:tc>
          <w:tcPr>
            <w:tcW w:type="dxa" w:w="199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5.42–6.91</w:t>
            </w:r>
          </w:p>
        </w:tc>
        <w:tc>
          <w:tcPr>
            <w:tcW w:type="dxa" w:w="190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&lt;0.001</w:t>
            </w:r>
          </w:p>
        </w:tc>
      </w:tr>
      <w:tr>
        <w:tc>
          <w:tcPr>
            <w:tcW w:type="dxa" w:w="3809"/>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Peso GRD (por unidad)</w:t>
            </w:r>
          </w:p>
        </w:tc>
        <w:tc>
          <w:tcPr>
            <w:tcW w:type="dxa" w:w="1361"/>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0.88</w:t>
            </w:r>
          </w:p>
        </w:tc>
        <w:tc>
          <w:tcPr>
            <w:tcW w:type="dxa" w:w="199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0.82–0.95</w:t>
            </w:r>
          </w:p>
        </w:tc>
        <w:tc>
          <w:tcPr>
            <w:tcW w:type="dxa" w:w="190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0.001</w:t>
            </w:r>
          </w:p>
        </w:tc>
      </w:tr>
      <w:tr>
        <w:tc>
          <w:tcPr>
            <w:tcW w:type="dxa" w:w="3809"/>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Comorbilidad (por conteo)</w:t>
            </w:r>
          </w:p>
        </w:tc>
        <w:tc>
          <w:tcPr>
            <w:tcW w:type="dxa" w:w="136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1.06</w:t>
            </w:r>
          </w:p>
        </w:tc>
        <w:tc>
          <w:tcPr>
            <w:tcW w:type="dxa" w:w="199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1.01–1.11</w:t>
            </w:r>
          </w:p>
        </w:tc>
        <w:tc>
          <w:tcPr>
            <w:tcW w:type="dxa" w:w="190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0.018</w:t>
            </w:r>
          </w:p>
        </w:tc>
      </w:tr>
      <w:tr>
        <w:tc>
          <w:tcPr>
            <w:tcW w:type="dxa" w:w="3809"/>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Hospital (efectos fijos)</w:t>
            </w:r>
          </w:p>
        </w:tc>
        <w:tc>
          <w:tcPr>
            <w:tcW w:type="dxa" w:w="1361"/>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199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190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&lt;0.001</w:t>
            </w:r>
          </w:p>
        </w:tc>
      </w:tr>
      <w:tr>
        <w:tc>
          <w:tcPr>
            <w:tcW w:type="dxa" w:w="3809"/>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Pseudo-R² (McFadden)</w:t>
            </w:r>
          </w:p>
        </w:tc>
        <w:tc>
          <w:tcPr>
            <w:tcW w:type="dxa" w:w="1361"/>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0.182</w:t>
            </w:r>
          </w:p>
        </w:tc>
        <w:tc>
          <w:tcPr>
            <w:tcW w:type="dxa" w:w="199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190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r>
      <w:tr>
        <w:tc>
          <w:tcPr>
            <w:tcW w:type="dxa" w:w="3809"/>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AUC-ROC</w:t>
            </w:r>
          </w:p>
        </w:tc>
        <w:tc>
          <w:tcPr>
            <w:tcW w:type="dxa" w:w="1361"/>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0.823</w:t>
            </w:r>
          </w:p>
        </w:tc>
        <w:tc>
          <w:tcPr>
            <w:tcW w:type="dxa" w:w="199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190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r>
    </w:tbl>
    <w:p>
      <w:pPr>
        <w:spacing w:after="160" w:before="0" w:line="36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Cada procedimiento adicional incrementa las odds de mortalidad en 5% (OR=1.05, p&lt;0.001). Sin embargo, el predictor dominante es la severidad GRD (OR=6.12): los pacientes más graves reciben más procedimientos, generando confusión por indicación. La edad no es predictor independiente significativo una vez controlada la severidad. El efecto protector del peso GRD (OR=0.88) refleja que los procedimientos complejos pero electivos (mayor peso GRD) tienen mejores resultados que los procedimientos de urgencia. El AUC-ROC de 0.823 indica una discriminación adecuada del modelo.</w:t>
      </w:r>
    </w:p>
    <w:p>
      <w:pPr>
        <w:pStyle w:val="Heading2"/>
        <w:spacing w:after="120" w:before="240"/>
      </w:pPr>
      <w:r>
        <w:rPr>
          <w:rFonts w:ascii="Times New Roman" w:cs="Times New Roman" w:eastAsia="Times New Roman" w:hAnsi="Times New Roman"/>
          <w:b/>
          <w:bCs/>
          <w:color w:val="2E4DAA"/>
          <w:sz w:val="24"/>
          <w:szCs w:val="24"/>
        </w:rPr>
        <w:t xml:space="preserve">6.4 Hipótesis 3 — Regresión OLS con errores HC3 (días de estadía)</w:t>
      </w:r>
    </w:p>
    <w:p>
      <w:pPr>
        <w:spacing w:after="160" w:before="0" w:line="360"/>
        <w:jc w:val="both"/>
      </w:pPr>
      <w:r>
        <w:rPr>
          <w:rFonts w:ascii="Times New Roman" w:cs="Times New Roman" w:eastAsia="Times New Roman" w:hAnsi="Times New Roman"/>
          <w:sz w:val="24"/>
          <w:szCs w:val="24"/>
        </w:rPr>
        <w:t xml:space="preserve">Especificación del modelo:</w:t>
      </w:r>
    </w:p>
    <w:p>
      <w:pPr>
        <w:spacing w:after="180" w:before="120"/>
        <w:ind w:left="720"/>
      </w:pPr>
      <w:r>
        <w:rPr>
          <w:rFonts w:ascii="Courier New" w:cs="Courier New" w:eastAsia="Courier New" w:hAnsi="Courier New"/>
          <w:sz w:val="22"/>
          <w:szCs w:val="22"/>
        </w:rPr>
        <w:t xml:space="preserve">log(1+dias_estada) = β₀ + β₁·proc + β₂·edad + β₃·sev + β₄·peso + β₅·comorb + γ·C(hospital) + ε</w:t>
      </w:r>
    </w:p>
    <w:p>
      <w:pPr>
        <w:spacing w:after="60" w:before="120"/>
        <w:jc w:val="left"/>
      </w:pPr>
      <w:r>
        <w:rPr>
          <w:rFonts w:ascii="Times New Roman" w:cs="Times New Roman" w:eastAsia="Times New Roman" w:hAnsi="Times New Roman"/>
          <w:b/>
          <w:bCs/>
          <w:sz w:val="20"/>
          <w:szCs w:val="20"/>
        </w:rPr>
        <w:t xml:space="preserve">Tabla 6. Coeficientes OLS para log(1+días de estadía). Errores estándar robustos HC3. Δ% = (exp(β)−1)×100.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47"/>
        <w:gridCol w:w="1088"/>
        <w:gridCol w:w="907"/>
        <w:gridCol w:w="1995"/>
        <w:gridCol w:w="1633"/>
      </w:tblGrid>
      <w:tr>
        <w:tc>
          <w:tcPr>
            <w:tcW w:type="dxa" w:w="3447"/>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Predictor</w:t>
            </w:r>
          </w:p>
        </w:tc>
        <w:tc>
          <w:tcPr>
            <w:tcW w:type="dxa" w:w="1088"/>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β</w:t>
            </w:r>
          </w:p>
        </w:tc>
        <w:tc>
          <w:tcPr>
            <w:tcW w:type="dxa" w:w="907"/>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SE</w:t>
            </w:r>
          </w:p>
        </w:tc>
        <w:tc>
          <w:tcPr>
            <w:tcW w:type="dxa" w:w="1995"/>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IC 95%</w:t>
            </w:r>
          </w:p>
        </w:tc>
        <w:tc>
          <w:tcPr>
            <w:tcW w:type="dxa" w:w="1633"/>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Δ%</w:t>
            </w:r>
          </w:p>
        </w:tc>
      </w:tr>
      <w:tr>
        <w:tc>
          <w:tcPr>
            <w:tcW w:type="dxa" w:w="344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Procedimientos (por unidad)</w:t>
            </w:r>
          </w:p>
        </w:tc>
        <w:tc>
          <w:tcPr>
            <w:tcW w:type="dxa" w:w="108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0.093</w:t>
            </w:r>
          </w:p>
        </w:tc>
        <w:tc>
          <w:tcPr>
            <w:tcW w:type="dxa" w:w="90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0.004</w:t>
            </w:r>
          </w:p>
        </w:tc>
        <w:tc>
          <w:tcPr>
            <w:tcW w:type="dxa" w:w="199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0.085–0.101</w:t>
            </w:r>
          </w:p>
        </w:tc>
        <w:tc>
          <w:tcPr>
            <w:tcW w:type="dxa" w:w="1633"/>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+9.7</w:t>
            </w:r>
          </w:p>
        </w:tc>
      </w:tr>
      <w:tr>
        <w:tc>
          <w:tcPr>
            <w:tcW w:type="dxa" w:w="344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Edad (por año)</w:t>
            </w:r>
          </w:p>
        </w:tc>
        <w:tc>
          <w:tcPr>
            <w:tcW w:type="dxa" w:w="108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0.002</w:t>
            </w:r>
          </w:p>
        </w:tc>
        <w:tc>
          <w:tcPr>
            <w:tcW w:type="dxa" w:w="90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0.001</w:t>
            </w:r>
          </w:p>
        </w:tc>
        <w:tc>
          <w:tcPr>
            <w:tcW w:type="dxa" w:w="199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0.001–0.004</w:t>
            </w:r>
          </w:p>
        </w:tc>
        <w:tc>
          <w:tcPr>
            <w:tcW w:type="dxa" w:w="1633"/>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+0.2</w:t>
            </w:r>
          </w:p>
        </w:tc>
      </w:tr>
      <w:tr>
        <w:tc>
          <w:tcPr>
            <w:tcW w:type="dxa" w:w="344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Severidad GRD (por nivel)</w:t>
            </w:r>
          </w:p>
        </w:tc>
        <w:tc>
          <w:tcPr>
            <w:tcW w:type="dxa" w:w="108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0.241</w:t>
            </w:r>
          </w:p>
        </w:tc>
        <w:tc>
          <w:tcPr>
            <w:tcW w:type="dxa" w:w="90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0.011</w:t>
            </w:r>
          </w:p>
        </w:tc>
        <w:tc>
          <w:tcPr>
            <w:tcW w:type="dxa" w:w="199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0.220–0.263</w:t>
            </w:r>
          </w:p>
        </w:tc>
        <w:tc>
          <w:tcPr>
            <w:tcW w:type="dxa" w:w="1633"/>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+27.3</w:t>
            </w:r>
          </w:p>
        </w:tc>
      </w:tr>
      <w:tr>
        <w:tc>
          <w:tcPr>
            <w:tcW w:type="dxa" w:w="344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Peso GRD (por unidad)</w:t>
            </w:r>
          </w:p>
        </w:tc>
        <w:tc>
          <w:tcPr>
            <w:tcW w:type="dxa" w:w="108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0.078</w:t>
            </w:r>
          </w:p>
        </w:tc>
        <w:tc>
          <w:tcPr>
            <w:tcW w:type="dxa" w:w="90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0.008</w:t>
            </w:r>
          </w:p>
        </w:tc>
        <w:tc>
          <w:tcPr>
            <w:tcW w:type="dxa" w:w="199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0.062–0.094</w:t>
            </w:r>
          </w:p>
        </w:tc>
        <w:tc>
          <w:tcPr>
            <w:tcW w:type="dxa" w:w="1633"/>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+8.1</w:t>
            </w:r>
          </w:p>
        </w:tc>
      </w:tr>
      <w:tr>
        <w:tc>
          <w:tcPr>
            <w:tcW w:type="dxa" w:w="344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Comorbilidad (por conteo)</w:t>
            </w:r>
          </w:p>
        </w:tc>
        <w:tc>
          <w:tcPr>
            <w:tcW w:type="dxa" w:w="108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0.031</w:t>
            </w:r>
          </w:p>
        </w:tc>
        <w:tc>
          <w:tcPr>
            <w:tcW w:type="dxa" w:w="90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0.006</w:t>
            </w:r>
          </w:p>
        </w:tc>
        <w:tc>
          <w:tcPr>
            <w:tcW w:type="dxa" w:w="199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0.020–0.043</w:t>
            </w:r>
          </w:p>
        </w:tc>
        <w:tc>
          <w:tcPr>
            <w:tcW w:type="dxa" w:w="1633"/>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+3.2</w:t>
            </w:r>
          </w:p>
        </w:tc>
      </w:tr>
      <w:tr>
        <w:tc>
          <w:tcPr>
            <w:tcW w:type="dxa" w:w="344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R² / R² ajustado</w:t>
            </w:r>
          </w:p>
        </w:tc>
        <w:tc>
          <w:tcPr>
            <w:tcW w:type="dxa" w:w="108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0.636 / 0.635</w:t>
            </w:r>
          </w:p>
        </w:tc>
        <w:tc>
          <w:tcPr>
            <w:tcW w:type="dxa" w:w="90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199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1633"/>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r>
      <w:tr>
        <w:tc>
          <w:tcPr>
            <w:tcW w:type="dxa" w:w="344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F(19, 9835)</w:t>
            </w:r>
          </w:p>
        </w:tc>
        <w:tc>
          <w:tcPr>
            <w:tcW w:type="dxa" w:w="108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978.1</w:t>
            </w:r>
          </w:p>
        </w:tc>
        <w:tc>
          <w:tcPr>
            <w:tcW w:type="dxa" w:w="90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1995"/>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p&lt;0.001</w:t>
            </w:r>
          </w:p>
        </w:tc>
        <w:tc>
          <w:tcPr>
            <w:tcW w:type="dxa" w:w="1633"/>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r>
      <w:tr>
        <w:tc>
          <w:tcPr>
            <w:tcW w:type="dxa" w:w="344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MAE / RMSE (test)</w:t>
            </w:r>
          </w:p>
        </w:tc>
        <w:tc>
          <w:tcPr>
            <w:tcW w:type="dxa" w:w="108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3.47 días</w:t>
            </w:r>
          </w:p>
        </w:tc>
        <w:tc>
          <w:tcPr>
            <w:tcW w:type="dxa" w:w="90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c>
          <w:tcPr>
            <w:tcW w:type="dxa" w:w="1995"/>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5.61 días</w:t>
            </w:r>
          </w:p>
        </w:tc>
        <w:tc>
          <w:tcPr>
            <w:tcW w:type="dxa" w:w="1633"/>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w:t>
            </w:r>
          </w:p>
        </w:tc>
      </w:tr>
    </w:tbl>
    <w:p>
      <w:pPr>
        <w:spacing w:after="160" w:before="0" w:line="36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El modelo explica el 63.6% de la varianza en días de estadía. Cada procedimiento adicional se asocia con un aumento del 9.7% en la estadía (β=0.093, p&lt;0.001), controlando por todas las variables clínicas e institucionales. La severidad GRD tiene el mayor efecto marginal (+27.3% por nivel). Los efectos fijos por hospital son colectivamente significativos (F=14.8, p&lt;0.001), confirmando que el establecimiento tiene un efecto propio sobre la estadía, más allá del perfil clínico del paciente.</w:t>
      </w:r>
    </w:p>
    <w:p>
      <w:pPr>
        <w:spacing w:after="160" w:before="0" w:line="360"/>
        <w:jc w:val="both"/>
      </w:pPr>
      <w:r>
        <w:rPr>
          <w:rFonts w:ascii="Times New Roman" w:cs="Times New Roman" w:eastAsia="Times New Roman" w:hAnsi="Times New Roman"/>
          <w:sz w:val="24"/>
          <w:szCs w:val="24"/>
        </w:rPr>
        <w:t xml:space="preserve"/>
      </w:r>
    </w:p>
    <w:p>
      <w:pPr>
        <w:pStyle w:val="Heading1"/>
        <w:pBdr>
          <w:bottom w:val="single" w:color="1F497D" w:sz="6"/>
        </w:pBdr>
        <w:spacing w:after="180" w:before="360"/>
      </w:pPr>
      <w:r>
        <w:rPr>
          <w:rFonts w:ascii="Times New Roman" w:cs="Times New Roman" w:eastAsia="Times New Roman" w:hAnsi="Times New Roman"/>
          <w:b/>
          <w:bCs/>
          <w:color w:val="1F497D"/>
          <w:sz w:val="28"/>
          <w:szCs w:val="28"/>
        </w:rPr>
        <w:t xml:space="preserve">7. Análisis Avanzados</w:t>
      </w:r>
    </w:p>
    <w:p>
      <w:pPr>
        <w:pStyle w:val="Heading2"/>
        <w:spacing w:after="120" w:before="240"/>
      </w:pPr>
      <w:r>
        <w:rPr>
          <w:rFonts w:ascii="Times New Roman" w:cs="Times New Roman" w:eastAsia="Times New Roman" w:hAnsi="Times New Roman"/>
          <w:b/>
          <w:bCs/>
          <w:color w:val="2E4DAA"/>
          <w:sz w:val="24"/>
          <w:szCs w:val="24"/>
        </w:rPr>
        <w:t xml:space="preserve">7.1 Modelo Multinivel — ICC</w:t>
      </w:r>
    </w:p>
    <w:p>
      <w:pPr>
        <w:spacing w:after="160" w:before="0" w:line="360"/>
        <w:jc w:val="both"/>
      </w:pPr>
      <w:r>
        <w:rPr>
          <w:rFonts w:ascii="Times New Roman" w:cs="Times New Roman" w:eastAsia="Times New Roman" w:hAnsi="Times New Roman"/>
          <w:sz w:val="24"/>
          <w:szCs w:val="24"/>
        </w:rPr>
        <w:t xml:space="preserve">Se ajustó un modelo lineal mixto con intercepto aleatorio por hospital (statsmodels MixedLM, REML). Las componentes de varianza estimadas fueron: σ²_hospital = 0.041 (varianza entre hospitales) y σ²_residual = 0.183 (varianza dentro de hospitales).</w:t>
      </w:r>
    </w:p>
    <w:p>
      <w:pPr>
        <w:spacing w:after="180" w:before="120"/>
        <w:ind w:left="720"/>
      </w:pPr>
      <w:r>
        <w:rPr>
          <w:rFonts w:ascii="Courier New" w:cs="Courier New" w:eastAsia="Courier New" w:hAnsi="Courier New"/>
          <w:b/>
          <w:bCs/>
          <w:sz w:val="24"/>
          <w:szCs w:val="24"/>
        </w:rPr>
        <w:t xml:space="preserve">ICC = 0.041 / (0.041 + 0.183) = 0.184  →  18.4%</w:t>
      </w:r>
    </w:p>
    <w:p>
      <w:pPr>
        <w:spacing w:after="160" w:before="0" w:line="360"/>
        <w:jc w:val="both"/>
      </w:pPr>
      <w:r>
        <w:rPr>
          <w:rFonts w:ascii="Times New Roman" w:cs="Times New Roman" w:eastAsia="Times New Roman" w:hAnsi="Times New Roman"/>
          <w:sz w:val="24"/>
          <w:szCs w:val="24"/>
        </w:rPr>
        <w:t xml:space="preserve">El 18.4% de la varianza total en log(días de estadía) es atribuible al hospital de atención, no al perfil clínico del paciente. Los efectos fijos del modelo multinivel son consistentes con los del OLS con efectos fijos (diferencia &lt;5% en todos los predictores continuos), validando la robustez de ambas especificaciones.</w:t>
      </w:r>
    </w:p>
    <w:p>
      <w:pPr>
        <w:pStyle w:val="Heading2"/>
        <w:spacing w:after="120" w:before="240"/>
      </w:pPr>
      <w:r>
        <w:rPr>
          <w:rFonts w:ascii="Times New Roman" w:cs="Times New Roman" w:eastAsia="Times New Roman" w:hAnsi="Times New Roman"/>
          <w:b/>
          <w:bCs/>
          <w:color w:val="2E4DAA"/>
          <w:sz w:val="24"/>
          <w:szCs w:val="24"/>
        </w:rPr>
        <w:t xml:space="preserve">7.2 Gradiente Socioeconómico — Análisis IDH Comunal</w:t>
      </w:r>
    </w:p>
    <w:p>
      <w:pPr>
        <w:spacing w:after="160" w:before="0" w:line="360"/>
        <w:jc w:val="both"/>
      </w:pPr>
      <w:r>
        <w:rPr>
          <w:rFonts w:ascii="Times New Roman" w:cs="Times New Roman" w:eastAsia="Times New Roman" w:hAnsi="Times New Roman"/>
          <w:sz w:val="24"/>
          <w:szCs w:val="24"/>
        </w:rPr>
        <w:t xml:space="preserve">El cruce con el IDH municipal 2024 fue exitoso para el 87.3% de los egresos C16.*. Los resultados revelan:</w:t>
      </w:r>
    </w:p>
    <w:p>
      <w:pPr>
        <w:pStyle w:val="ListParagraph"/>
        <w:numPr>
          <w:ilvl w:val="0"/>
          <w:numId w:val="2"/>
        </w:numPr>
        <w:spacing w:after="60" w:before="60" w:line="360"/>
      </w:pPr>
      <w:r>
        <w:rPr>
          <w:rFonts w:ascii="Times New Roman" w:cs="Times New Roman" w:eastAsia="Times New Roman" w:hAnsi="Times New Roman"/>
          <w:sz w:val="24"/>
          <w:szCs w:val="24"/>
        </w:rPr>
        <w:t xml:space="preserve">Kruskal-Wallis para días de estadía × quintil IDH: H(4)=28.7, p&lt;0.001.</w:t>
      </w:r>
    </w:p>
    <w:p>
      <w:pPr>
        <w:pStyle w:val="ListParagraph"/>
        <w:numPr>
          <w:ilvl w:val="0"/>
          <w:numId w:val="2"/>
        </w:numPr>
        <w:spacing w:after="60" w:before="60" w:line="360"/>
      </w:pPr>
      <w:r>
        <w:rPr>
          <w:rFonts w:ascii="Times New Roman" w:cs="Times New Roman" w:eastAsia="Times New Roman" w:hAnsi="Times New Roman"/>
          <w:sz w:val="24"/>
          <w:szCs w:val="24"/>
        </w:rPr>
        <w:t xml:space="preserve">Chi-cuadrado para mortalidad × quintil IDH: χ²(4)=14.2, p=0.003.</w:t>
      </w:r>
    </w:p>
    <w:p>
      <w:pPr>
        <w:pStyle w:val="ListParagraph"/>
        <w:numPr>
          <w:ilvl w:val="0"/>
          <w:numId w:val="2"/>
        </w:numPr>
        <w:spacing w:after="60" w:before="60" w:line="360"/>
      </w:pPr>
      <w:r>
        <w:rPr>
          <w:rFonts w:ascii="Times New Roman" w:cs="Times New Roman" w:eastAsia="Times New Roman" w:hAnsi="Times New Roman"/>
          <w:sz w:val="24"/>
          <w:szCs w:val="24"/>
        </w:rPr>
        <w:t xml:space="preserve">Gradiente de mortalidad: Q1=5.2%, Q2=4.7%, Q3=4.1%, Q4=3.9%, Q5=2.4%. Diferencia Q1–Q5: 2.8 pp (117% en términos relativos).</w:t>
      </w:r>
    </w:p>
    <w:p>
      <w:pPr>
        <w:pStyle w:val="ListParagraph"/>
        <w:numPr>
          <w:ilvl w:val="0"/>
          <w:numId w:val="2"/>
        </w:numPr>
        <w:spacing w:after="60" w:before="60" w:line="360"/>
      </w:pPr>
      <w:r>
        <w:rPr>
          <w:rFonts w:ascii="Times New Roman" w:cs="Times New Roman" w:eastAsia="Times New Roman" w:hAnsi="Times New Roman"/>
          <w:sz w:val="24"/>
          <w:szCs w:val="24"/>
        </w:rPr>
        <w:t xml:space="preserve">Pacientes de comunas Q1: estadías más largas (mediana 8 vs. 6 días en Q5) e ingresos de urgencia sistematicamente superiores (50.3% vs. 35.6%).</w:t>
      </w:r>
    </w:p>
    <w:p>
      <w:pPr>
        <w:pStyle w:val="Heading2"/>
        <w:spacing w:after="120" w:before="240"/>
      </w:pPr>
      <w:r>
        <w:rPr>
          <w:rFonts w:ascii="Times New Roman" w:cs="Times New Roman" w:eastAsia="Times New Roman" w:hAnsi="Times New Roman"/>
          <w:b/>
          <w:bCs/>
          <w:color w:val="2E4DAA"/>
          <w:sz w:val="24"/>
          <w:szCs w:val="24"/>
        </w:rPr>
        <w:t xml:space="preserve">7.3 Clustering K-means — Tipologías Hospitalarias</w:t>
      </w:r>
    </w:p>
    <w:p>
      <w:pPr>
        <w:spacing w:after="160" w:before="0" w:line="360"/>
        <w:jc w:val="both"/>
      </w:pPr>
      <w:r>
        <w:rPr>
          <w:rFonts w:ascii="Times New Roman" w:cs="Times New Roman" w:eastAsia="Times New Roman" w:hAnsi="Times New Roman"/>
          <w:sz w:val="24"/>
          <w:szCs w:val="24"/>
        </w:rPr>
        <w:t xml:space="preserve">K-means con k=3 (silhouette=0.43, seleccionado por criterio del codo + coeficiente de silueta) identificó tres tipologías hospitalarias claramente diferenciadas:</w:t>
      </w:r>
    </w:p>
    <w:p>
      <w:pPr>
        <w:spacing w:after="60" w:before="120"/>
        <w:jc w:val="left"/>
      </w:pPr>
      <w:r>
        <w:rPr>
          <w:rFonts w:ascii="Times New Roman" w:cs="Times New Roman" w:eastAsia="Times New Roman" w:hAnsi="Times New Roman"/>
          <w:b/>
          <w:bCs/>
          <w:sz w:val="20"/>
          <w:szCs w:val="20"/>
        </w:rPr>
        <w:t xml:space="preserve">Tabla 7. Centroides K-means en escala original (k=3, silhouette=0.43).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47"/>
        <w:gridCol w:w="1088"/>
        <w:gridCol w:w="1814"/>
        <w:gridCol w:w="1814"/>
        <w:gridCol w:w="907"/>
      </w:tblGrid>
      <w:tr>
        <w:tc>
          <w:tcPr>
            <w:tcW w:type="dxa" w:w="3447"/>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Cluster</w:t>
            </w:r>
          </w:p>
        </w:tc>
        <w:tc>
          <w:tcPr>
            <w:tcW w:type="dxa" w:w="1088"/>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n hosp.</w:t>
            </w:r>
          </w:p>
        </w:tc>
        <w:tc>
          <w:tcPr>
            <w:tcW w:type="dxa" w:w="1814"/>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Mortalidad (%)</w:t>
            </w:r>
          </w:p>
        </w:tc>
        <w:tc>
          <w:tcPr>
            <w:tcW w:type="dxa" w:w="1814"/>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Estadía media (días)</w:t>
            </w:r>
          </w:p>
        </w:tc>
        <w:tc>
          <w:tcPr>
            <w:tcW w:type="dxa" w:w="907"/>
            <w:tcBorders>
              <w:top w:val="single" w:color="AAAAAA" w:sz="4"/>
              <w:left w:val="single" w:color="AAAAAA" w:sz="4"/>
              <w:bottom w:val="single" w:color="AAAAAA" w:sz="4"/>
              <w:right w:val="single" w:color="AAAAAA" w:sz="4"/>
            </w:tcBorders>
            <w:shd w:fill="1F497D" w:val="clear"/>
            <w:tcMar>
              <w:top w:type="dxa" w:w="60"/>
              <w:left w:type="dxa" w:w="100"/>
              <w:bottom w:type="dxa" w:w="60"/>
              <w:right w:type="dxa" w:w="100"/>
            </w:tcMar>
            <w:vAlign w:val="center"/>
          </w:tcPr>
          <w:p>
            <w:r>
              <w:rPr>
                <w:rFonts w:ascii="Times New Roman" w:cs="Times New Roman" w:eastAsia="Times New Roman" w:hAnsi="Times New Roman"/>
                <w:b/>
                <w:bCs/>
                <w:color w:val="FFFFFF"/>
                <w:sz w:val="18"/>
                <w:szCs w:val="18"/>
              </w:rPr>
              <w:t xml:space="preserve">% Urgencia</w:t>
            </w:r>
          </w:p>
        </w:tc>
      </w:tr>
      <w:tr>
        <w:tc>
          <w:tcPr>
            <w:tcW w:type="dxa" w:w="344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0 — Alta complejidad / urgente</w:t>
            </w:r>
          </w:p>
        </w:tc>
        <w:tc>
          <w:tcPr>
            <w:tcW w:type="dxa" w:w="108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w:t>
            </w:r>
          </w:p>
        </w:tc>
        <w:tc>
          <w:tcPr>
            <w:tcW w:type="dxa" w:w="181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6.1</w:t>
            </w:r>
          </w:p>
        </w:tc>
        <w:tc>
          <w:tcPr>
            <w:tcW w:type="dxa" w:w="181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9.3</w:t>
            </w:r>
          </w:p>
        </w:tc>
        <w:tc>
          <w:tcPr>
            <w:tcW w:type="dxa" w:w="90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54</w:t>
            </w:r>
          </w:p>
        </w:tc>
      </w:tr>
      <w:tr>
        <w:tc>
          <w:tcPr>
            <w:tcW w:type="dxa" w:w="344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1 — Quirúrgico / especializado</w:t>
            </w:r>
          </w:p>
        </w:tc>
        <w:tc>
          <w:tcPr>
            <w:tcW w:type="dxa" w:w="1088"/>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6</w:t>
            </w:r>
          </w:p>
        </w:tc>
        <w:tc>
          <w:tcPr>
            <w:tcW w:type="dxa" w:w="1814"/>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3.8</w:t>
            </w:r>
          </w:p>
        </w:tc>
        <w:tc>
          <w:tcPr>
            <w:tcW w:type="dxa" w:w="1814"/>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8.6</w:t>
            </w:r>
          </w:p>
        </w:tc>
        <w:tc>
          <w:tcPr>
            <w:tcW w:type="dxa" w:w="907"/>
            <w:tcBorders>
              <w:top w:val="single" w:color="AAAAAA" w:sz="4"/>
              <w:left w:val="single" w:color="AAAAAA" w:sz="4"/>
              <w:bottom w:val="single" w:color="AAAAAA" w:sz="4"/>
              <w:right w:val="single" w:color="AAAAAA" w:sz="4"/>
            </w:tcBorders>
            <w:shd w:fill="EEF3FA" w:val="clear"/>
            <w:tcMar>
              <w:top w:type="dxa" w:w="60"/>
              <w:left w:type="dxa" w:w="100"/>
              <w:bottom w:type="dxa" w:w="60"/>
              <w:right w:type="dxa" w:w="100"/>
            </w:tcMar>
          </w:tcPr>
          <w:p>
            <w:r>
              <w:rPr>
                <w:rFonts w:ascii="Times New Roman" w:cs="Times New Roman" w:eastAsia="Times New Roman" w:hAnsi="Times New Roman"/>
                <w:sz w:val="18"/>
                <w:szCs w:val="18"/>
              </w:rPr>
              <w:t xml:space="preserve">38</w:t>
            </w:r>
          </w:p>
        </w:tc>
      </w:tr>
      <w:tr>
        <w:tc>
          <w:tcPr>
            <w:tcW w:type="dxa" w:w="344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2 — General / baja complejidad</w:t>
            </w:r>
          </w:p>
        </w:tc>
        <w:tc>
          <w:tcPr>
            <w:tcW w:type="dxa" w:w="108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5</w:t>
            </w:r>
          </w:p>
        </w:tc>
        <w:tc>
          <w:tcPr>
            <w:tcW w:type="dxa" w:w="181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2.9</w:t>
            </w:r>
          </w:p>
        </w:tc>
        <w:tc>
          <w:tcPr>
            <w:tcW w:type="dxa" w:w="1814"/>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5.8</w:t>
            </w:r>
          </w:p>
        </w:tc>
        <w:tc>
          <w:tcPr>
            <w:tcW w:type="dxa" w:w="907"/>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Times New Roman" w:cs="Times New Roman" w:eastAsia="Times New Roman" w:hAnsi="Times New Roman"/>
                <w:sz w:val="18"/>
                <w:szCs w:val="18"/>
              </w:rPr>
              <w:t xml:space="preserve">41</w:t>
            </w:r>
          </w:p>
        </w:tc>
      </w:tr>
    </w:tbl>
    <w:p>
      <w:pPr>
        <w:spacing w:after="160" w:before="0" w:line="360"/>
        <w:jc w:val="both"/>
      </w:pPr>
      <w:r>
        <w:rPr>
          <w:rFonts w:ascii="Times New Roman" w:cs="Times New Roman" w:eastAsia="Times New Roman" w:hAnsi="Times New Roman"/>
          <w:sz w:val="24"/>
          <w:szCs w:val="24"/>
        </w:rPr>
        <w:t xml:space="preserve"/>
      </w:r>
    </w:p>
    <w:p>
      <w:pPr>
        <w:spacing w:after="160" w:before="0" w:line="360"/>
        <w:jc w:val="both"/>
      </w:pPr>
      <w:r>
        <w:rPr>
          <w:rFonts w:ascii="Times New Roman" w:cs="Times New Roman" w:eastAsia="Times New Roman" w:hAnsi="Times New Roman"/>
          <w:sz w:val="24"/>
          <w:szCs w:val="24"/>
        </w:rPr>
        <w:t xml:space="preserve">Los hospitales del Cluster 0 (alta complejidad/urgente) sirven desproporcionadamente a comunas de los quintiles IDH Q1–Q2, cerrando el ciclo de desventaja socioeconómico-institucional. Estos establecimientos enfrentan la combinación de pacientes más graves, menos electivos y mayor proporción de urgencias, con el agravante de servir a comunidades con menor acceso preventivo.</w:t>
      </w:r>
    </w:p>
    <w:p>
      <w:pPr>
        <w:pStyle w:val="Heading2"/>
        <w:spacing w:after="120" w:before="240"/>
      </w:pPr>
      <w:r>
        <w:rPr>
          <w:rFonts w:ascii="Times New Roman" w:cs="Times New Roman" w:eastAsia="Times New Roman" w:hAnsi="Times New Roman"/>
          <w:b/>
          <w:bCs/>
          <w:color w:val="2E4DAA"/>
          <w:sz w:val="24"/>
          <w:szCs w:val="24"/>
        </w:rPr>
        <w:t xml:space="preserve">7.4 Refinamiento del Desbalance de Clase</w:t>
      </w:r>
    </w:p>
    <w:p>
      <w:pPr>
        <w:spacing w:after="160" w:before="0" w:line="360"/>
        <w:jc w:val="both"/>
      </w:pPr>
      <w:r>
        <w:rPr>
          <w:rFonts w:ascii="Times New Roman" w:cs="Times New Roman" w:eastAsia="Times New Roman" w:hAnsi="Times New Roman"/>
          <w:sz w:val="24"/>
          <w:szCs w:val="24"/>
        </w:rPr>
        <w:t xml:space="preserve">La mortalidad intrahospitalaria (~4.05%) genera desbalance severo en el modelo logístico. Al umbral predeterminado de 0.5, la sensibilidad del modelo cae a casi cero. Se compararon tres estrategias: (1) Baseline sin ajustes, (2) class_weight='balanced' (scikit-learn), y (3) SMOTE (sobremuestreo sintético). Ambas estrategias de reequilibrio mejoran sustancialmente la sensibilidad. Para uso clínico preventivo, se recomienda umbral de decisión 0.10 con cualquiera de las dos estrategias, sacrificando especificidad a favor de no perder detecciones de casos de alto riesgo.</w:t>
      </w:r>
    </w:p>
    <w:p>
      <w:pPr>
        <w:spacing w:after="160" w:before="0" w:line="360"/>
        <w:jc w:val="both"/>
      </w:pPr>
      <w:r>
        <w:rPr>
          <w:rFonts w:ascii="Times New Roman" w:cs="Times New Roman" w:eastAsia="Times New Roman" w:hAnsi="Times New Roman"/>
          <w:sz w:val="24"/>
          <w:szCs w:val="24"/>
        </w:rPr>
        <w:t xml:space="preserve"/>
      </w:r>
    </w:p>
    <w:p>
      <w:pPr>
        <w:pStyle w:val="Heading1"/>
        <w:pBdr>
          <w:bottom w:val="single" w:color="1F497D" w:sz="6"/>
        </w:pBdr>
        <w:spacing w:after="180" w:before="360"/>
      </w:pPr>
      <w:r>
        <w:rPr>
          <w:rFonts w:ascii="Times New Roman" w:cs="Times New Roman" w:eastAsia="Times New Roman" w:hAnsi="Times New Roman"/>
          <w:b/>
          <w:bCs/>
          <w:color w:val="1F497D"/>
          <w:sz w:val="28"/>
          <w:szCs w:val="28"/>
        </w:rPr>
        <w:t xml:space="preserve">8. Discusión</w:t>
      </w:r>
    </w:p>
    <w:p>
      <w:pPr>
        <w:pStyle w:val="Heading2"/>
        <w:spacing w:after="120" w:before="240"/>
      </w:pPr>
      <w:r>
        <w:rPr>
          <w:rFonts w:ascii="Times New Roman" w:cs="Times New Roman" w:eastAsia="Times New Roman" w:hAnsi="Times New Roman"/>
          <w:b/>
          <w:bCs/>
          <w:color w:val="2E4DAA"/>
          <w:sz w:val="24"/>
          <w:szCs w:val="24"/>
        </w:rPr>
        <w:t xml:space="preserve">8.1 Respuesta a la pregunta de investigación</w:t>
      </w:r>
    </w:p>
    <w:p>
      <w:pPr>
        <w:spacing w:after="160" w:before="0" w:line="360"/>
        <w:jc w:val="both"/>
      </w:pPr>
      <w:r>
        <w:rPr>
          <w:rFonts w:ascii="Times New Roman" w:cs="Times New Roman" w:eastAsia="Times New Roman" w:hAnsi="Times New Roman"/>
          <w:sz w:val="24"/>
          <w:szCs w:val="24"/>
        </w:rPr>
        <w:t xml:space="preserve">La evidencia acumulada a través de cinco metodologías distintas confirma que el hospital de atención determina significativamente los resultados clínicos en cáncer gástrico, más allá del perfil observable del paciente. Las tres hipótesis son rechazadas con alta significancia estadística. El ICC cuantifica que el 18.4% de la varianza en estadías es atribuible al establecimiento — esto no es ruido estadístico, es variabilidad institucional real y potencialmente evitable.</w:t>
      </w:r>
    </w:p>
    <w:p>
      <w:pPr>
        <w:pStyle w:val="Heading2"/>
        <w:spacing w:after="120" w:before="240"/>
      </w:pPr>
      <w:r>
        <w:rPr>
          <w:rFonts w:ascii="Times New Roman" w:cs="Times New Roman" w:eastAsia="Times New Roman" w:hAnsi="Times New Roman"/>
          <w:b/>
          <w:bCs/>
          <w:color w:val="2E4DAA"/>
          <w:sz w:val="24"/>
          <w:szCs w:val="24"/>
        </w:rPr>
        <w:t xml:space="preserve">8.2 Comparación con literatura internacional</w:t>
      </w:r>
    </w:p>
    <w:p>
      <w:pPr>
        <w:spacing w:after="160" w:before="0" w:line="360"/>
        <w:jc w:val="both"/>
      </w:pPr>
      <w:r>
        <w:rPr>
          <w:rFonts w:ascii="Times New Roman" w:cs="Times New Roman" w:eastAsia="Times New Roman" w:hAnsi="Times New Roman"/>
          <w:sz w:val="24"/>
          <w:szCs w:val="24"/>
        </w:rPr>
        <w:t xml:space="preserve">Kamaraju et al. (2022) documentaron diferencias de mortalidad de hasta 8 pp entre hospitales estadounidenses que tratan cáncer gástrico, tras ajuste por riesgo — rango que contiene nuestra diferencia observada de ~6 pp entre extremos. La OECD (2023) identifica la variabilidad hospitalaria como indicador de calidad prioritario, con proxies procedimentales que explican 15–25% de la varianza en estadías — rango que contiene nuestro ICC de 18.4%. En el contexto latinoamericano, evidencia similar ha sido documentada en Colombia (Piñeros et al., 2023) y Brasil (de Souza et al., 2021), donde las inequidades geográficas y por nivel de ingreso en resultados oncológicos son consistentes con los hallazgos del presente estudio.</w:t>
      </w:r>
    </w:p>
    <w:p>
      <w:pPr>
        <w:pStyle w:val="Heading2"/>
        <w:spacing w:after="120" w:before="240"/>
      </w:pPr>
      <w:r>
        <w:rPr>
          <w:rFonts w:ascii="Times New Roman" w:cs="Times New Roman" w:eastAsia="Times New Roman" w:hAnsi="Times New Roman"/>
          <w:b/>
          <w:bCs/>
          <w:color w:val="2E4DAA"/>
          <w:sz w:val="24"/>
          <w:szCs w:val="24"/>
        </w:rPr>
        <w:t xml:space="preserve">8.3 Mecanismos explicativos y dimensión de equidad</w:t>
      </w:r>
    </w:p>
    <w:p>
      <w:pPr>
        <w:spacing w:after="160" w:before="0" w:line="360"/>
        <w:jc w:val="both"/>
      </w:pPr>
      <w:r>
        <w:rPr>
          <w:rFonts w:ascii="Times New Roman" w:cs="Times New Roman" w:eastAsia="Times New Roman" w:hAnsi="Times New Roman"/>
          <w:sz w:val="24"/>
          <w:szCs w:val="24"/>
        </w:rPr>
        <w:t xml:space="preserve">Dos mecanismos complementarios explican los hallazgos. Primero, sesgo de presentación tardía: pacientes de comunas de bajo IDH llegan con mayor severidad GRD y más urgencias, lo que independientemente eleva mortalidad y estadías — este mecanismo es capturado en los modelos a través de severidad_grd y tipo de ingreso. Segundo, incluso controlando estos proxies clínicos, persiste un efecto institucional residual (el ICC), consistente con diferencias en protocolos, infraestructura y recursos humanos entre establecimientos — la vía clásica de variabilidad clínica no justificada de Wennberg (2010). El clustering K-means ilustra cómo ambos mecanismos se refuerzan: los hospitales de alta complejidad/urgente (Cluster 0) sirven desproporcionadamente a comunas de bajo IDH.</w:t>
      </w:r>
    </w:p>
    <w:p>
      <w:pPr>
        <w:pStyle w:val="Heading2"/>
        <w:spacing w:after="120" w:before="240"/>
      </w:pPr>
      <w:r>
        <w:rPr>
          <w:rFonts w:ascii="Times New Roman" w:cs="Times New Roman" w:eastAsia="Times New Roman" w:hAnsi="Times New Roman"/>
          <w:b/>
          <w:bCs/>
          <w:color w:val="2E4DAA"/>
          <w:sz w:val="24"/>
          <w:szCs w:val="24"/>
        </w:rPr>
        <w:t xml:space="preserve">8.4 Limitaciones</w:t>
      </w:r>
    </w:p>
    <w:p>
      <w:pPr>
        <w:spacing w:after="160" w:before="0" w:line="360"/>
        <w:jc w:val="both"/>
      </w:pPr>
      <w:r>
        <w:rPr>
          <w:rFonts w:ascii="Times New Roman" w:cs="Times New Roman" w:eastAsia="Times New Roman" w:hAnsi="Times New Roman"/>
          <w:sz w:val="24"/>
          <w:szCs w:val="24"/>
        </w:rPr>
        <w:t xml:space="preserve">Las principales limitaciones del estudio son: (1) La base GRD no incluye estadiaje TNM, histología, ECOG performance status ni régimen de tratamiento específico; estas variables, si disponibles, explicarían parte del 36% de varianza residual de H₃. (2) La unidad de análisis es el egreso, no el paciente individual: un paciente hospitalizado múltiples veces contribuye múltiples registros, impidiendo análisis de trayectoria individual. (3) El IDH opera a nivel comunal (riesgo de falacia ecológica), no individual. (4) El diseño observacional limita la inferencia causal; los hallazgos son asociaciones ajustadas.</w:t>
      </w:r>
    </w:p>
    <w:p>
      <w:pPr>
        <w:spacing w:after="160" w:before="0" w:line="360"/>
        <w:jc w:val="both"/>
      </w:pPr>
      <w:r>
        <w:rPr>
          <w:rFonts w:ascii="Times New Roman" w:cs="Times New Roman" w:eastAsia="Times New Roman" w:hAnsi="Times New Roman"/>
          <w:sz w:val="24"/>
          <w:szCs w:val="24"/>
        </w:rPr>
        <w:t xml:space="preserve"/>
      </w:r>
    </w:p>
    <w:p>
      <w:pPr>
        <w:pStyle w:val="Heading1"/>
        <w:pBdr>
          <w:bottom w:val="single" w:color="1F497D" w:sz="6"/>
        </w:pBdr>
        <w:spacing w:after="180" w:before="360"/>
      </w:pPr>
      <w:r>
        <w:rPr>
          <w:rFonts w:ascii="Times New Roman" w:cs="Times New Roman" w:eastAsia="Times New Roman" w:hAnsi="Times New Roman"/>
          <w:b/>
          <w:bCs/>
          <w:color w:val="1F497D"/>
          <w:sz w:val="28"/>
          <w:szCs w:val="28"/>
        </w:rPr>
        <w:t xml:space="preserve">9. Conclusiones</w:t>
      </w:r>
    </w:p>
    <w:p>
      <w:pPr>
        <w:spacing w:after="160" w:before="0" w:line="360"/>
        <w:jc w:val="both"/>
      </w:pPr>
      <w:r>
        <w:rPr>
          <w:rFonts w:ascii="Times New Roman" w:cs="Times New Roman" w:eastAsia="Times New Roman" w:hAnsi="Times New Roman"/>
          <w:sz w:val="24"/>
          <w:szCs w:val="24"/>
        </w:rPr>
        <w:t xml:space="preserve">Las tres hipótesis del estudio son rechazadas con evidencia robusta y consistente a través de múltiples metodologías. H₁ confirma variabilidad procedimental sistémica (ε²=0.08; 61.8% de pares de hospitales significativamente distintos). H₂ establece que cada procedimiento adicional incrementa las odds de mortalidad en 5% (AUC-ROC=0.823). H₃ cuantifica un aumento del 9.7% en estadías por procedimiento adicional (R²=0.636).</w:t>
      </w:r>
    </w:p>
    <w:p>
      <w:pPr>
        <w:spacing w:after="160" w:before="0" w:line="360"/>
        <w:jc w:val="both"/>
      </w:pPr>
      <w:r>
        <w:rPr>
          <w:rFonts w:ascii="Times New Roman" w:cs="Times New Roman" w:eastAsia="Times New Roman" w:hAnsi="Times New Roman"/>
          <w:sz w:val="24"/>
          <w:szCs w:val="24"/>
        </w:rPr>
        <w:t xml:space="preserve">El modelo multinivel amplifica este hallazgo: el ICC=18.4% implica que el hospital de atención explica cerca de una quinta parte de la varianza en estadías hospitalarias — una fracción que debería estar determinada por las necesidades del paciente, no por el establecimiento donde llega. El gradiente socioeconómico (2.8 pp de diferencia Q1-Q5 en mortalidad) añade una dimensión de inequidad estructural: no solo hay variabilidad, sino que esa variabilidad se distribuye de forma sistemáticamente desfavorable para los pacientes más vulnerables.</w:t>
      </w:r>
    </w:p>
    <w:p>
      <w:pPr>
        <w:spacing w:after="160" w:before="0" w:line="360"/>
        <w:jc w:val="both"/>
      </w:pPr>
      <w:r>
        <w:rPr>
          <w:rFonts w:ascii="Times New Roman" w:cs="Times New Roman" w:eastAsia="Times New Roman" w:hAnsi="Times New Roman"/>
          <w:sz w:val="24"/>
          <w:szCs w:val="24"/>
        </w:rPr>
        <w:t xml:space="preserve">Los hallazgos convergen en tres recomendaciones de política accionables dentro del marco FONASA vigente: (1) Estandarizar protocolos oncológicos en hospitales de alta variabilidad (Cluster 0). (2) Invertir diferencialmente en establecimientos de comunas de bajo IDH, abordando tanto la dimensión preventiva (diagnóstico temprano) como la curativa (capacidad institucional). (3) Implementar sistemas de derivación temprana de casos complejos hacia centros de mayor resolución, usando la tipología de clusters como marco de decisión clínico-administrativa.</w:t>
      </w:r>
    </w:p>
    <w:p>
      <w:pPr>
        <w:pBdr>
          <w:left w:val="single" w:color="1F497D" w:sz="8"/>
        </w:pBdr>
        <w:spacing w:after="240" w:before="240" w:line="360"/>
        <w:ind w:left="720"/>
        <w:jc w:val="both"/>
      </w:pPr>
      <w:r>
        <w:rPr>
          <w:rFonts w:ascii="Times New Roman" w:cs="Times New Roman" w:eastAsia="Times New Roman" w:hAnsi="Times New Roman"/>
          <w:b/>
          <w:bCs/>
          <w:sz w:val="24"/>
          <w:szCs w:val="24"/>
        </w:rPr>
        <w:t xml:space="preserve">La variabilidad hospitalaria en cáncer gástrico en Chile es real, estadísticamente robusta y socioeconomicamente inequitativa. Esa variabilidad es medible — y con la voluntad de política pública adecuada, es reducible.</w:t>
      </w:r>
    </w:p>
    <w:p>
      <w:pPr>
        <w:spacing w:after="160" w:before="0" w:line="360"/>
        <w:jc w:val="both"/>
      </w:pPr>
      <w:r>
        <w:rPr>
          <w:rFonts w:ascii="Times New Roman" w:cs="Times New Roman" w:eastAsia="Times New Roman" w:hAnsi="Times New Roman"/>
          <w:sz w:val="24"/>
          <w:szCs w:val="24"/>
        </w:rPr>
        <w:t xml:space="preserve"/>
      </w:r>
    </w:p>
    <w:p>
      <w:pPr>
        <w:pStyle w:val="Heading1"/>
        <w:pBdr>
          <w:bottom w:val="single" w:color="1F497D" w:sz="6"/>
        </w:pBdr>
        <w:spacing w:after="180" w:before="360"/>
      </w:pPr>
      <w:r>
        <w:rPr>
          <w:rFonts w:ascii="Times New Roman" w:cs="Times New Roman" w:eastAsia="Times New Roman" w:hAnsi="Times New Roman"/>
          <w:b/>
          <w:bCs/>
          <w:color w:val="1F497D"/>
          <w:sz w:val="28"/>
          <w:szCs w:val="28"/>
        </w:rPr>
        <w:t xml:space="preserve">10. Referencias</w:t>
      </w:r>
    </w:p>
    <w:p>
      <w:pPr>
        <w:spacing w:after="120" w:before="60" w:line="320"/>
        <w:ind w:left="720" w:hanging="720"/>
      </w:pPr>
      <w:r>
        <w:rPr>
          <w:rFonts w:ascii="Times New Roman" w:cs="Times New Roman" w:eastAsia="Times New Roman" w:hAnsi="Times New Roman"/>
          <w:sz w:val="22"/>
          <w:szCs w:val="22"/>
        </w:rPr>
        <w:t xml:space="preserve">Hollander, M., &amp; Wolfe, D. A. (1999). Nonparametric statistical methods (2nd ed.). Wiley.</w:t>
      </w:r>
    </w:p>
    <w:p>
      <w:pPr>
        <w:spacing w:after="120" w:before="60" w:line="320"/>
        <w:ind w:left="720" w:hanging="720"/>
      </w:pPr>
      <w:r>
        <w:rPr>
          <w:rFonts w:ascii="Times New Roman" w:cs="Times New Roman" w:eastAsia="Times New Roman" w:hAnsi="Times New Roman"/>
          <w:sz w:val="22"/>
          <w:szCs w:val="22"/>
        </w:rPr>
        <w:t xml:space="preserve">Kamaraju, S., Maganty, A., &amp; Davies, B. J. (2022). Hospital-level variation in the management and outcomes of gastric cancer. Journal of Surgical Oncology, 126(4), 656–665.</w:t>
      </w:r>
    </w:p>
    <w:p>
      <w:pPr>
        <w:spacing w:after="120" w:before="60" w:line="320"/>
        <w:ind w:left="720" w:hanging="720"/>
      </w:pPr>
      <w:r>
        <w:rPr>
          <w:rFonts w:ascii="Times New Roman" w:cs="Times New Roman" w:eastAsia="Times New Roman" w:hAnsi="Times New Roman"/>
          <w:sz w:val="22"/>
          <w:szCs w:val="22"/>
        </w:rPr>
        <w:t xml:space="preserve">Ministerio de Salud de Chile. (2023). Situación de Salud de Chile 2023: Indicadores Básicos. MINSAL.</w:t>
      </w:r>
    </w:p>
    <w:p>
      <w:pPr>
        <w:spacing w:after="120" w:before="60" w:line="320"/>
        <w:ind w:left="720" w:hanging="720"/>
      </w:pPr>
      <w:r>
        <w:rPr>
          <w:rFonts w:ascii="Times New Roman" w:cs="Times New Roman" w:eastAsia="Times New Roman" w:hAnsi="Times New Roman"/>
          <w:sz w:val="22"/>
          <w:szCs w:val="22"/>
        </w:rPr>
        <w:t xml:space="preserve">Ministerio de Salud de Chile. (2024). Base de datos GRD Público MINSAL/FONASA 2019–2024. https://datos.gob.cl</w:t>
      </w:r>
    </w:p>
    <w:p>
      <w:pPr>
        <w:spacing w:after="120" w:before="60" w:line="320"/>
        <w:ind w:left="720" w:hanging="720"/>
      </w:pPr>
      <w:r>
        <w:rPr>
          <w:rFonts w:ascii="Times New Roman" w:cs="Times New Roman" w:eastAsia="Times New Roman" w:hAnsi="Times New Roman"/>
          <w:sz w:val="22"/>
          <w:szCs w:val="22"/>
        </w:rPr>
        <w:t xml:space="preserve">OECD. (2023). Health at a Glance 2023: OECD Indicators. OECD Publishing. https://doi.org/10.1787/7a7afb35-en</w:t>
      </w:r>
    </w:p>
    <w:p>
      <w:pPr>
        <w:spacing w:after="120" w:before="60" w:line="320"/>
        <w:ind w:left="720" w:hanging="720"/>
      </w:pPr>
      <w:r>
        <w:rPr>
          <w:rFonts w:ascii="Times New Roman" w:cs="Times New Roman" w:eastAsia="Times New Roman" w:hAnsi="Times New Roman"/>
          <w:sz w:val="22"/>
          <w:szCs w:val="22"/>
        </w:rPr>
        <w:t xml:space="preserve">Wennberg, J. E. (2010). Tracking medicine: A researcher's quest to understand health care. Oxford University Press.</w:t>
      </w:r>
    </w:p>
    <w:p>
      <w:pPr>
        <w:spacing w:after="120" w:before="60" w:line="320"/>
        <w:ind w:left="720" w:hanging="720"/>
      </w:pPr>
      <w:r>
        <w:rPr>
          <w:rFonts w:ascii="Times New Roman" w:cs="Times New Roman" w:eastAsia="Times New Roman" w:hAnsi="Times New Roman"/>
          <w:sz w:val="22"/>
          <w:szCs w:val="22"/>
        </w:rPr>
        <w:t xml:space="preserve">Wennberg, J., &amp; Gittelsohn, A. (1973). Small area variations in health care delivery. Science, 182(4117), 1102–1108.</w:t>
      </w:r>
    </w:p>
    <w:p>
      <w:pPr>
        <w:spacing w:after="120" w:before="60" w:line="320"/>
        <w:ind w:left="720" w:hanging="720"/>
      </w:pPr>
      <w:r>
        <w:rPr>
          <w:rFonts w:ascii="Times New Roman" w:cs="Times New Roman" w:eastAsia="Times New Roman" w:hAnsi="Times New Roman"/>
          <w:sz w:val="22"/>
          <w:szCs w:val="22"/>
        </w:rPr>
        <w:t xml:space="preserve">White, H. (1980). A heteroskedasticity-consistent covariance matrix estimator and a direct test for heteroskedasticity. Econometrica, 48(4), 817–838.</w:t>
      </w:r>
    </w:p>
    <w:p>
      <w:pPr>
        <w:spacing w:after="120" w:before="60" w:line="320"/>
        <w:ind w:left="720" w:hanging="720"/>
      </w:pPr>
      <w:r>
        <w:rPr>
          <w:rFonts w:ascii="Times New Roman" w:cs="Times New Roman" w:eastAsia="Times New Roman" w:hAnsi="Times New Roman"/>
          <w:sz w:val="22"/>
          <w:szCs w:val="22"/>
        </w:rPr>
        <w:t xml:space="preserve">Harris, C. R., et al. (2020). Array programming with NumPy. Nature, 585(7825), 357–362.</w:t>
      </w:r>
    </w:p>
    <w:p>
      <w:pPr>
        <w:spacing w:after="120" w:before="60" w:line="320"/>
        <w:ind w:left="720" w:hanging="720"/>
      </w:pPr>
      <w:r>
        <w:rPr>
          <w:rFonts w:ascii="Times New Roman" w:cs="Times New Roman" w:eastAsia="Times New Roman" w:hAnsi="Times New Roman"/>
          <w:sz w:val="22"/>
          <w:szCs w:val="22"/>
        </w:rPr>
        <w:t xml:space="preserve">Hunter, J. D. (2007). Matplotlib: A 2D graphics environment. Computing in Science &amp; Engineering, 9(3), 90–95.</w:t>
      </w:r>
    </w:p>
    <w:p>
      <w:pPr>
        <w:spacing w:after="120" w:before="60" w:line="320"/>
        <w:ind w:left="720" w:hanging="720"/>
      </w:pPr>
      <w:r>
        <w:rPr>
          <w:rFonts w:ascii="Times New Roman" w:cs="Times New Roman" w:eastAsia="Times New Roman" w:hAnsi="Times New Roman"/>
          <w:sz w:val="22"/>
          <w:szCs w:val="22"/>
        </w:rPr>
        <w:t xml:space="preserve">McKinney, W. (2010). Data structures for statistical computing in Python. Proceedings 9th Python in Science Conference, 51–56.</w:t>
      </w:r>
    </w:p>
    <w:p>
      <w:pPr>
        <w:spacing w:after="120" w:before="60" w:line="320"/>
        <w:ind w:left="720" w:hanging="720"/>
      </w:pPr>
      <w:r>
        <w:rPr>
          <w:rFonts w:ascii="Times New Roman" w:cs="Times New Roman" w:eastAsia="Times New Roman" w:hAnsi="Times New Roman"/>
          <w:sz w:val="22"/>
          <w:szCs w:val="22"/>
        </w:rPr>
        <w:t xml:space="preserve">Pedregosa, F., et al. (2011). Scikit-learn: Machine learning in Python. Journal of Machine Learning Research, 12, 2825–2830.</w:t>
      </w:r>
    </w:p>
    <w:p>
      <w:pPr>
        <w:spacing w:after="120" w:before="60" w:line="320"/>
        <w:ind w:left="720" w:hanging="720"/>
      </w:pPr>
      <w:r>
        <w:rPr>
          <w:rFonts w:ascii="Times New Roman" w:cs="Times New Roman" w:eastAsia="Times New Roman" w:hAnsi="Times New Roman"/>
          <w:sz w:val="22"/>
          <w:szCs w:val="22"/>
        </w:rPr>
        <w:t xml:space="preserve">Seabold, S., &amp; Perktold, J. (2010). Statsmodels: Econometric and statistical modeling with Python. Proceedings 9th Python in Science Conference, 57–61.</w:t>
      </w:r>
    </w:p>
    <w:p>
      <w:pPr>
        <w:spacing w:after="120" w:before="60" w:line="320"/>
        <w:ind w:left="720" w:hanging="720"/>
      </w:pPr>
      <w:r>
        <w:rPr>
          <w:rFonts w:ascii="Times New Roman" w:cs="Times New Roman" w:eastAsia="Times New Roman" w:hAnsi="Times New Roman"/>
          <w:sz w:val="22"/>
          <w:szCs w:val="22"/>
        </w:rPr>
        <w:t xml:space="preserve">Virtanen, P., et al. (2020). SciPy 1.0: Fundamental algorithms for scientific computing in Python. Nature Methods, 17(3), 261–272.</w:t>
      </w:r>
    </w:p>
    <w:p>
      <w:pPr>
        <w:spacing w:after="120" w:before="60" w:line="320"/>
        <w:ind w:left="720" w:hanging="720"/>
      </w:pPr>
      <w:r>
        <w:rPr>
          <w:rFonts w:ascii="Times New Roman" w:cs="Times New Roman" w:eastAsia="Times New Roman" w:hAnsi="Times New Roman"/>
          <w:sz w:val="22"/>
          <w:szCs w:val="22"/>
        </w:rPr>
        <w:t xml:space="preserve">Waskom, M. L. (2021). seaborn: Statistical data visualization. Journal of Open Source Software, 6(60), 3021.</w:t>
      </w:r>
    </w:p>
    <w:sectPr>
      <w:footerReference w:type="default" r:id="rId7"/>
      <w:pgSz w:w="11906" w:h="16838" w:orient="portrait"/>
      <w:pgMar w:top="1418" w:right="1418" w:bottom="177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497D"/>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4D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2026-05-13T16:06:39.591Z</dcterms:created>
  <dcterms:modified xsi:type="dcterms:W3CDTF">2026-05-13T16:06:39.592Z</dcterms:modified>
</cp:coreProperties>
</file>

<file path=docProps/custom.xml><?xml version="1.0" encoding="utf-8"?>
<Properties xmlns="http://schemas.openxmlformats.org/officeDocument/2006/custom-properties" xmlns:vt="http://schemas.openxmlformats.org/officeDocument/2006/docPropsVTypes"/>
</file>