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color w:val="1F497D"/>
          <w:sz w:val="28"/>
          <w:szCs w:val="28"/>
        </w:rPr>
        <w:t>Universidad del Desarrollo</w:t>
      </w:r>
    </w:p>
    <w:p>
      <w:pPr>
        <w:pStyle w:val="Normal"/>
        <w:spacing w:before="0" w:after="480"/>
        <w:jc w:val="center"/>
        <w:rPr/>
      </w:pPr>
      <w:r>
        <w:rPr>
          <w:rFonts w:eastAsia="Times New Roman" w:cs="Times New Roman"/>
          <w:color w:val="1F497D"/>
          <w:sz w:val="24"/>
          <w:szCs w:val="24"/>
        </w:rPr>
        <w:t>Facultad de Ingeniería</w:t>
      </w:r>
    </w:p>
    <w:p>
      <w:pPr>
        <w:pStyle w:val="Normal"/>
        <w:spacing w:lineRule="auto" w:line="420" w:before="240" w:after="720"/>
        <w:jc w:val="center"/>
        <w:rPr/>
      </w:pPr>
      <w:r>
        <w:rPr>
          <w:rFonts w:eastAsia="Times New Roman" w:cs="Times New Roman"/>
          <w:b/>
          <w:bCs/>
          <w:sz w:val="36"/>
          <w:szCs w:val="36"/>
        </w:rPr>
        <w:t>Variabilidad en el Tratamiento Oncológico y sus Efectos sobre la Mortalidad y la Estadía Hospitalaria en el Sistema Público Chileno</w:t>
      </w:r>
    </w:p>
    <w:p>
      <w:pPr>
        <w:pStyle w:val="Normal"/>
        <w:spacing w:before="0" w:after="120"/>
        <w:jc w:val="center"/>
        <w:rPr/>
      </w:pPr>
      <w:r>
        <w:rPr>
          <w:rFonts w:eastAsia="Times New Roman" w:cs="Times New Roman"/>
          <w:sz w:val="24"/>
          <w:szCs w:val="24"/>
        </w:rPr>
        <w:t>Equipo: Vicente Rodríguez · José Tomás Amat · Sebastián Herrera</w:t>
      </w:r>
    </w:p>
    <w:p>
      <w:pPr>
        <w:pStyle w:val="Normal"/>
        <w:spacing w:before="0" w:after="120"/>
        <w:jc w:val="center"/>
        <w:rPr/>
      </w:pPr>
      <w:r>
        <w:rPr>
          <w:rFonts w:eastAsia="Times New Roman" w:cs="Times New Roman"/>
          <w:sz w:val="24"/>
          <w:szCs w:val="24"/>
        </w:rPr>
        <w:t>Curso: Análisis de Datos e Inferencia Estadística — Ingeniería UDD</w:t>
      </w:r>
    </w:p>
    <w:p>
      <w:pPr>
        <w:pStyle w:val="Normal"/>
        <w:spacing w:before="0" w:after="120"/>
        <w:jc w:val="center"/>
        <w:rPr/>
      </w:pPr>
      <w:r>
        <w:rPr>
          <w:rFonts w:eastAsia="Times New Roman" w:cs="Times New Roman"/>
          <w:color w:val="666666"/>
          <w:sz w:val="24"/>
          <w:szCs w:val="24"/>
        </w:rPr>
        <w:t>Profesor/a: Karen Oróstica · Ayudante: David Hernández</w:t>
      </w:r>
    </w:p>
    <w:p>
      <w:pPr>
        <w:pStyle w:val="Normal"/>
        <w:spacing w:before="0" w:after="0"/>
        <w:jc w:val="center"/>
        <w:rPr/>
        <w:sectPr>
          <w:type w:val="nextPage"/>
          <w:pgSz w:w="11906" w:h="16838"/>
          <w:pgMar w:left="1418" w:right="1418" w:gutter="0" w:header="0" w:top="1418" w:footer="0" w:bottom="1418"/>
          <w:pgNumType w:fmt="decimal"/>
          <w:formProt w:val="false"/>
          <w:textDirection w:val="lrTb"/>
          <w:docGrid w:type="default" w:linePitch="360" w:charSpace="0"/>
        </w:sectPr>
      </w:pPr>
      <w:r>
        <w:rPr>
          <w:rFonts w:eastAsia="Times New Roman" w:cs="Times New Roman"/>
          <w:sz w:val="24"/>
          <w:szCs w:val="24"/>
        </w:rPr>
        <w:t>Mayo 2026</w:t>
      </w:r>
    </w:p>
    <w:p>
      <w:pPr>
        <w:pStyle w:val="Heading1"/>
        <w:pBdr>
          <w:bottom w:val="single" w:sz="6" w:space="0" w:color="1F497D"/>
        </w:pBdr>
        <w:spacing w:before="360" w:after="180"/>
        <w:rPr/>
      </w:pPr>
      <w:r>
        <w:rPr>
          <w:rFonts w:eastAsia="Times New Roman" w:cs="Times New Roman"/>
          <w:b/>
          <w:bCs/>
          <w:color w:val="1F497D"/>
          <w:sz w:val="28"/>
          <w:szCs w:val="28"/>
        </w:rPr>
        <w:t>1. Abstract</w:t>
      </w:r>
    </w:p>
    <w:p>
      <w:pPr>
        <w:pStyle w:val="Normal"/>
        <w:spacing w:lineRule="auto" w:line="360" w:before="0" w:after="160"/>
        <w:jc w:val="both"/>
        <w:rPr>
          <w:rFonts w:ascii="Times New Roman" w:hAnsi="Times New Roman" w:eastAsia="Times New Roman" w:cs="Times New Roman"/>
          <w:sz w:val="24"/>
          <w:szCs w:val="24"/>
        </w:rPr>
      </w:pPr>
      <w:r>
        <w:rPr>
          <w:rFonts w:eastAsia="Times New Roman" w:cs="Times New Roman"/>
          <w:sz w:val="24"/>
          <w:szCs w:val="24"/>
        </w:rPr>
        <w:t>Gastric cancer (ICD-10: C16.) is the leading oncological cause of death in the Chilean public health system. This study analyzes whether the treating hospital determines clinical outcomes beyond the patient's individual profile. The GRD MINSAL/FONASA 2019–2024 database was used (17,335 C16. discharges across 57 hospitals; regression subset: 9,855 discharges across 15 hospitals). Methods include descriptive and inferential EDA, Kruskal-Wallis with Dunn-Bonferroni correction (H₁), multiple logistic regression (H₂), OLS with HC3 robust errors (H₃), a multilevel model, municipal HDI analysis, and K-means clustering.</w:t>
      </w:r>
    </w:p>
    <w:p>
      <w:pPr>
        <w:pStyle w:val="Normal"/>
        <w:spacing w:lineRule="auto" w:line="360" w:before="0" w:after="160"/>
        <w:jc w:val="both"/>
        <w:rPr>
          <w:rFonts w:ascii="Times New Roman" w:hAnsi="Times New Roman" w:eastAsia="Times New Roman" w:cs="Times New Roman"/>
          <w:sz w:val="24"/>
          <w:szCs w:val="24"/>
        </w:rPr>
      </w:pPr>
      <w:r>
        <w:rPr>
          <w:rFonts w:eastAsia="Times New Roman" w:cs="Times New Roman"/>
          <w:sz w:val="24"/>
          <w:szCs w:val="24"/>
        </w:rPr>
        <w:t>Key findings: the distribution of procedures differs significantly across hospitals (H=412.3, p&lt;0.001, ε²=0.08; 61.8% of pairs were statistically significant). Each additional procedure increases the probability of mortality by 5% (OR=1.05; AUC-ROC=0.823) and length of stay by 9.7% (β=0.093; R²=0.636). The ICC from the multilevel model indicates that 18.4% of the variance in length of stay is attributable to the hospital. Patients in the lowest HDI quintile (Q1) show 2.8 percentage points higher mortality than those in the highest quintile (Q5). Hospital variability is structural, statistically robust, and socioeconomically inequitable.</w:t>
      </w:r>
    </w:p>
    <w:p>
      <w:pPr>
        <w:pStyle w:val="Normal"/>
        <w:spacing w:lineRule="auto" w:line="360" w:before="0" w:after="160"/>
        <w:jc w:val="both"/>
        <w:rPr>
          <w:rFonts w:ascii="Times New Roman" w:hAnsi="Times New Roman" w:eastAsia="Times New Roman" w:cs="Times New Roman"/>
          <w:sz w:val="24"/>
          <w:szCs w:val="24"/>
        </w:rPr>
      </w:pPr>
      <w:r>
        <w:rPr>
          <w:rFonts w:eastAsia="Times New Roman" w:cs="Times New Roman"/>
          <w:sz w:val="24"/>
          <w:szCs w:val="24"/>
        </w:rPr>
        <w:t>Keywords: gastric cancer · hospital variability · ICC · Chile · GRD database · health equity</w:t>
      </w:r>
    </w:p>
    <w:p>
      <w:pPr>
        <w:pStyle w:val="Normal"/>
        <w:spacing w:lineRule="auto" w:line="360" w:before="0" w:after="160"/>
        <w:jc w:val="both"/>
        <w:rPr/>
      </w:pPr>
      <w:r>
        <w:rPr/>
      </w:r>
    </w:p>
    <w:p>
      <w:pPr>
        <w:pStyle w:val="Heading1"/>
        <w:pBdr>
          <w:bottom w:val="single" w:sz="6" w:space="0" w:color="1F497D"/>
        </w:pBdr>
        <w:spacing w:before="360" w:after="180"/>
        <w:rPr/>
      </w:pPr>
      <w:r>
        <w:rPr>
          <w:rFonts w:eastAsia="Times New Roman" w:cs="Times New Roman"/>
          <w:b/>
          <w:bCs/>
          <w:color w:val="1F497D"/>
          <w:sz w:val="28"/>
          <w:szCs w:val="28"/>
        </w:rPr>
        <w:t>2. Introducción y Pregunta de Investigación</w:t>
      </w:r>
    </w:p>
    <w:p>
      <w:pPr>
        <w:pStyle w:val="Normal"/>
        <w:spacing w:lineRule="auto" w:line="360" w:before="0" w:after="160"/>
        <w:jc w:val="both"/>
        <w:rPr/>
      </w:pPr>
      <w:r>
        <w:rPr>
          <w:rFonts w:eastAsia="Times New Roman" w:cs="Times New Roman"/>
          <w:sz w:val="24"/>
          <w:szCs w:val="24"/>
        </w:rPr>
        <w:t>El cáncer es la segunda causa de muerte en Chile y el principal contribuyente a años de vida perdidos prematuramente (MINSAL, 2023). El cáncer gástrico (CIE-10: C16.*) lidera en incidencia y mortalidad dentro del sistema público, con tasas de sobrevida a 5 años sustancialmente menores a las de países de alto ingreso (GBD, 2022).</w:t>
      </w:r>
    </w:p>
    <w:p>
      <w:pPr>
        <w:pStyle w:val="Normal"/>
        <w:spacing w:lineRule="auto" w:line="360" w:before="0" w:after="160"/>
        <w:jc w:val="both"/>
        <w:rPr/>
      </w:pPr>
      <w:r>
        <w:rPr>
          <w:rFonts w:eastAsia="Times New Roman" w:cs="Times New Roman"/>
          <w:sz w:val="24"/>
          <w:szCs w:val="24"/>
        </w:rPr>
        <w:t>Existe evidencia creciente de que la variabilidad hospitalaria en tratamiento oncológico no se explica completamente por las características clínicas de los pacientes (Wennberg, 2010; Kamaraju et al., 2022). Esta variabilidad clínica no justificada tiene implicaciones directas para la equidad en salud: cuando los resultados dependen del lugar de atención y no de las necesidades médicas, el acceso a tratamiento de calidad se convierte en función de la geografía y del nivel socioeconómico.</w:t>
      </w:r>
    </w:p>
    <w:p>
      <w:pPr>
        <w:pStyle w:val="Normal"/>
        <w:spacing w:lineRule="auto" w:line="360" w:before="0" w:after="160"/>
        <w:jc w:val="both"/>
        <w:rPr/>
      </w:pPr>
      <w:r>
        <w:rPr>
          <w:rFonts w:eastAsia="Times New Roman" w:cs="Times New Roman"/>
          <w:sz w:val="24"/>
          <w:szCs w:val="24"/>
        </w:rPr>
        <w:t>En Chile, el sistema FONASA cubre aproximadamente el 80% de la población a través de una red de hospitales con niveles heterogéneos de complejidad, dotación de recursos y distribución geográfica. Los hospitales que sirven territorios de menor ingreso enfrentan barreras adicionales: mayor proporción de presentaciones tardías, ingresos de urgencia y capacidad de tratamiento restringida.</w:t>
      </w:r>
    </w:p>
    <w:p>
      <w:pPr>
        <w:pStyle w:val="Heading2"/>
        <w:spacing w:before="240" w:after="120"/>
        <w:rPr/>
      </w:pPr>
      <w:r>
        <w:rPr>
          <w:rFonts w:eastAsia="Times New Roman" w:cs="Times New Roman"/>
          <w:b/>
          <w:bCs/>
          <w:color w:val="2E4DAA"/>
          <w:sz w:val="24"/>
          <w:szCs w:val="24"/>
        </w:rPr>
        <w:t>2.1 Pregunta de investigación</w:t>
      </w:r>
    </w:p>
    <w:p>
      <w:pPr>
        <w:pStyle w:val="Normal"/>
        <w:spacing w:lineRule="auto" w:line="360" w:before="120" w:after="180"/>
        <w:ind w:start="720"/>
        <w:jc w:val="both"/>
        <w:rPr/>
      </w:pPr>
      <w:r>
        <w:rPr>
          <w:rFonts w:eastAsia="Times New Roman" w:cs="Times New Roman"/>
          <w:sz w:val="24"/>
          <w:szCs w:val="24"/>
        </w:rPr>
        <w:t>¿En qué medida el hospital de atención determina los días de estadía, la cantidad de procedimientos y la mortalidad intrahospitalaria en pacientes con cáncer gástrico (C16.*) en el sistema público chileno, controlando las características clínicas del paciente?</w:t>
      </w:r>
    </w:p>
    <w:p>
      <w:pPr>
        <w:pStyle w:val="Heading2"/>
        <w:spacing w:before="240" w:after="120"/>
        <w:rPr/>
      </w:pPr>
      <w:r>
        <w:rPr>
          <w:rFonts w:eastAsia="Times New Roman" w:cs="Times New Roman"/>
          <w:b/>
          <w:bCs/>
          <w:color w:val="2E4DAA"/>
          <w:sz w:val="24"/>
          <w:szCs w:val="24"/>
        </w:rPr>
        <w:t>2.2 Hipótesis y objetivos</w:t>
      </w:r>
    </w:p>
    <w:p>
      <w:pPr>
        <w:pStyle w:val="Normal"/>
        <w:spacing w:lineRule="auto" w:line="360" w:before="0" w:after="160"/>
        <w:jc w:val="both"/>
        <w:rPr/>
      </w:pPr>
      <w:r>
        <w:rPr>
          <w:rFonts w:eastAsia="Times New Roman" w:cs="Times New Roman"/>
          <w:sz w:val="24"/>
          <w:szCs w:val="24"/>
        </w:rPr>
        <w:t>Hipótesis general: Existe variabilidad inter-hospitalaria significativa que no se explica por las características observables del paciente. Esta hipótesis se operacionaliza en tres tests estadísticos:</w:t>
      </w:r>
    </w:p>
    <w:p>
      <w:pPr>
        <w:pStyle w:val="ListParagraph"/>
        <w:numPr>
          <w:ilvl w:val="0"/>
          <w:numId w:val="4"/>
        </w:numPr>
        <w:spacing w:lineRule="auto" w:line="360" w:before="60" w:after="60"/>
        <w:rPr/>
      </w:pPr>
      <w:r>
        <w:rPr>
          <w:rFonts w:eastAsia="Times New Roman" w:cs="Times New Roman"/>
          <w:sz w:val="24"/>
          <w:szCs w:val="24"/>
        </w:rPr>
        <w:t>H₁: La distribución de procedimientos difiere significativamente entre hospitales (Kruskal-Wallis + Dunn-Bonferroni).</w:t>
      </w:r>
    </w:p>
    <w:p>
      <w:pPr>
        <w:pStyle w:val="ListParagraph"/>
        <w:numPr>
          <w:ilvl w:val="0"/>
          <w:numId w:val="2"/>
        </w:numPr>
        <w:spacing w:lineRule="auto" w:line="360" w:before="60" w:after="60"/>
        <w:rPr/>
      </w:pPr>
      <w:r>
        <w:rPr>
          <w:rFonts w:eastAsia="Times New Roman" w:cs="Times New Roman"/>
          <w:sz w:val="24"/>
          <w:szCs w:val="24"/>
        </w:rPr>
        <w:t>H₂: Los procedimientos se asocian con la mortalidad intrahospitalaria, controlando por severidad y hospital (Regresión Logística).</w:t>
      </w:r>
    </w:p>
    <w:p>
      <w:pPr>
        <w:pStyle w:val="ListParagraph"/>
        <w:numPr>
          <w:ilvl w:val="0"/>
          <w:numId w:val="2"/>
        </w:numPr>
        <w:spacing w:lineRule="auto" w:line="360" w:before="60" w:after="60"/>
        <w:rPr/>
      </w:pPr>
      <w:r>
        <w:rPr>
          <w:rFonts w:eastAsia="Times New Roman" w:cs="Times New Roman"/>
          <w:sz w:val="24"/>
          <w:szCs w:val="24"/>
        </w:rPr>
        <w:t>H₃: Los procedimientos predicen los días de estadía, controlando por factores clínicos e institucionales (OLS HC3).</w:t>
      </w:r>
    </w:p>
    <w:p>
      <w:pPr>
        <w:pStyle w:val="Heading2"/>
        <w:spacing w:before="240" w:after="120"/>
        <w:rPr/>
      </w:pPr>
      <w:r>
        <w:rPr>
          <w:rFonts w:eastAsia="Times New Roman" w:cs="Times New Roman"/>
          <w:b/>
          <w:bCs/>
          <w:color w:val="2E4DAA"/>
          <w:sz w:val="24"/>
          <w:szCs w:val="24"/>
        </w:rPr>
        <w:t>2.3 Integración de avances previos</w:t>
      </w:r>
    </w:p>
    <w:p>
      <w:pPr>
        <w:pStyle w:val="Normal"/>
        <w:spacing w:lineRule="auto" w:line="360" w:before="0" w:after="160"/>
        <w:jc w:val="both"/>
        <w:rPr/>
      </w:pPr>
      <w:r>
        <w:rPr>
          <w:rFonts w:eastAsia="Times New Roman" w:cs="Times New Roman"/>
          <w:sz w:val="24"/>
          <w:szCs w:val="24"/>
        </w:rPr>
        <w:t>Este estudio integra y amplía el Avance 1 (EDA exploratorio del universo GRD 2019–2024, formulación de hipótesis y revisión de literatura) y el Avance 2 (análisis inferencial focal en C16.*, regresión logística y OLS), añadiendo el modelo multinivel con ICC, análisis IDH comunal y clustering K-means como extensiones analíticas de la entrega final.</w:t>
      </w:r>
    </w:p>
    <w:p>
      <w:pPr>
        <w:pStyle w:val="Normal"/>
        <w:spacing w:lineRule="auto" w:line="360" w:before="0" w:after="160"/>
        <w:jc w:val="both"/>
        <w:rPr/>
      </w:pPr>
      <w:r>
        <w:rPr/>
      </w:r>
    </w:p>
    <w:p>
      <w:pPr>
        <w:pStyle w:val="Heading1"/>
        <w:pBdr>
          <w:bottom w:val="single" w:sz="6" w:space="0" w:color="1F497D"/>
        </w:pBdr>
        <w:spacing w:before="360" w:after="180"/>
        <w:rPr/>
      </w:pPr>
      <w:r>
        <w:rPr>
          <w:rFonts w:eastAsia="Times New Roman" w:cs="Times New Roman"/>
          <w:b/>
          <w:bCs/>
          <w:color w:val="1F497D"/>
          <w:sz w:val="28"/>
          <w:szCs w:val="28"/>
        </w:rPr>
        <w:t>3. Descripción del Dataset</w:t>
      </w:r>
    </w:p>
    <w:p>
      <w:pPr>
        <w:pStyle w:val="Normal"/>
        <w:spacing w:lineRule="auto" w:line="360" w:before="0" w:after="160"/>
        <w:jc w:val="both"/>
        <w:rPr/>
      </w:pPr>
      <w:r>
        <w:rPr>
          <w:rFonts w:eastAsia="Times New Roman" w:cs="Times New Roman"/>
          <w:sz w:val="24"/>
          <w:szCs w:val="24"/>
        </w:rPr>
        <w:t>La fuente de datos es la Base GRD Público MINSAL/FONASA, que registra el 100% de los egresos hospitalarios del sistema público chileno. El dataset está disponible en https://datos.gob.cl y cubre el período 2019–2024.</w:t>
      </w:r>
    </w:p>
    <w:p>
      <w:pPr>
        <w:pStyle w:val="Normal"/>
        <w:spacing w:before="120" w:after="60"/>
        <w:jc w:val="start"/>
        <w:rPr/>
      </w:pPr>
      <w:r>
        <w:rPr>
          <w:rFonts w:eastAsia="Times New Roman" w:cs="Times New Roman"/>
          <w:b/>
          <w:bCs/>
          <w:sz w:val="20"/>
          <w:szCs w:val="20"/>
        </w:rPr>
        <w:t>Tabla 1. Resumen del dataset GRD utilizado en el análisis.</w:t>
      </w:r>
    </w:p>
    <w:tbl>
      <w:tblPr>
        <w:tblW w:w="9070" w:type="dxa"/>
        <w:jc w:val="start"/>
        <w:tblInd w:w="0" w:type="dxa"/>
        <w:tblLayout w:type="fixed"/>
        <w:tblCellMar>
          <w:top w:w="60" w:type="dxa"/>
          <w:start w:w="100" w:type="dxa"/>
          <w:bottom w:w="60" w:type="dxa"/>
          <w:end w:w="100" w:type="dxa"/>
        </w:tblCellMar>
      </w:tblPr>
      <w:tblGrid>
        <w:gridCol w:w="3628"/>
        <w:gridCol w:w="5442"/>
      </w:tblGrid>
      <w:tr>
        <w:trPr/>
        <w:tc>
          <w:tcPr>
            <w:tcW w:w="3628"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Atributo</w:t>
            </w:r>
          </w:p>
        </w:tc>
        <w:tc>
          <w:tcPr>
            <w:tcW w:w="5442"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Descripción</w:t>
            </w:r>
          </w:p>
        </w:tc>
      </w:tr>
      <w:tr>
        <w:trPr/>
        <w:tc>
          <w:tcPr>
            <w:tcW w:w="362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Fuente</w:t>
            </w:r>
          </w:p>
        </w:tc>
        <w:tc>
          <w:tcPr>
            <w:tcW w:w="544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GRD Público MINSAL/FONASA</w:t>
            </w:r>
          </w:p>
        </w:tc>
      </w:tr>
      <w:tr>
        <w:trPr/>
        <w:tc>
          <w:tcPr>
            <w:tcW w:w="362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Período</w:t>
            </w:r>
          </w:p>
        </w:tc>
        <w:tc>
          <w:tcPr>
            <w:tcW w:w="5442"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2019–2024 (6 años)</w:t>
            </w:r>
          </w:p>
        </w:tc>
      </w:tr>
      <w:tr>
        <w:trPr/>
        <w:tc>
          <w:tcPr>
            <w:tcW w:w="362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Universo oncológico (C00–D49)</w:t>
            </w:r>
          </w:p>
        </w:tc>
        <w:tc>
          <w:tcPr>
            <w:tcW w:w="544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~421.824 egresos</w:t>
            </w:r>
          </w:p>
        </w:tc>
      </w:tr>
      <w:tr>
        <w:trPr/>
        <w:tc>
          <w:tcPr>
            <w:tcW w:w="362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Subconjunto focal (C16.*)</w:t>
            </w:r>
          </w:p>
        </w:tc>
        <w:tc>
          <w:tcPr>
            <w:tcW w:w="5442"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~17.335 egresos de cáncer gástrico</w:t>
            </w:r>
          </w:p>
        </w:tc>
      </w:tr>
      <w:tr>
        <w:trPr/>
        <w:tc>
          <w:tcPr>
            <w:tcW w:w="362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Muestra de regresión</w:t>
            </w:r>
          </w:p>
        </w:tc>
        <w:tc>
          <w:tcPr>
            <w:tcW w:w="544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9.855 egresos (top 15 hospitales, ≥30 casos)</w:t>
            </w:r>
          </w:p>
        </w:tc>
      </w:tr>
      <w:tr>
        <w:trPr/>
        <w:tc>
          <w:tcPr>
            <w:tcW w:w="362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Unidad de análisis</w:t>
            </w:r>
          </w:p>
        </w:tc>
        <w:tc>
          <w:tcPr>
            <w:tcW w:w="5442"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Egreso hospitalario (no paciente individual)</w:t>
            </w:r>
          </w:p>
        </w:tc>
      </w:tr>
    </w:tbl>
    <w:p>
      <w:pPr>
        <w:pStyle w:val="Normal"/>
        <w:spacing w:lineRule="auto" w:line="360" w:before="0" w:after="160"/>
        <w:jc w:val="both"/>
        <w:rPr/>
      </w:pPr>
      <w:r>
        <w:rPr/>
      </w:r>
    </w:p>
    <w:p>
      <w:pPr>
        <w:pStyle w:val="Heading2"/>
        <w:spacing w:before="240" w:after="120"/>
        <w:rPr/>
      </w:pPr>
      <w:r>
        <w:rPr>
          <w:rFonts w:eastAsia="Times New Roman" w:cs="Times New Roman"/>
          <w:b/>
          <w:bCs/>
          <w:color w:val="2E4DAA"/>
          <w:sz w:val="24"/>
          <w:szCs w:val="24"/>
        </w:rPr>
        <w:t>3.1 Variables clave</w:t>
      </w:r>
    </w:p>
    <w:p>
      <w:pPr>
        <w:pStyle w:val="ListParagraph"/>
        <w:numPr>
          <w:ilvl w:val="0"/>
          <w:numId w:val="2"/>
        </w:numPr>
        <w:spacing w:lineRule="auto" w:line="360" w:before="60" w:after="60"/>
        <w:rPr/>
      </w:pPr>
      <w:r>
        <w:rPr>
          <w:rFonts w:eastAsia="Times New Roman" w:cs="Times New Roman"/>
          <w:sz w:val="24"/>
          <w:szCs w:val="24"/>
        </w:rPr>
        <w:t>dias_estada (VD en H₃): Distribución asimétrica (mediana 7 días, IQR 3–12); transformación log(1+x) corrige asimetría de 1.63 a −0.32.</w:t>
      </w:r>
    </w:p>
    <w:p>
      <w:pPr>
        <w:pStyle w:val="ListParagraph"/>
        <w:numPr>
          <w:ilvl w:val="0"/>
          <w:numId w:val="2"/>
        </w:numPr>
        <w:spacing w:lineRule="auto" w:line="360" w:before="60" w:after="60"/>
        <w:rPr/>
      </w:pPr>
      <w:r>
        <w:rPr>
          <w:rFonts w:eastAsia="Times New Roman" w:cs="Times New Roman"/>
          <w:sz w:val="24"/>
          <w:szCs w:val="24"/>
        </w:rPr>
        <w:t>cantidad_procedimientos (VI principal): Mediana 3 (IQR 1–6); normalidad rechazada por Shapiro-Wilk (W=0.922, p&lt;0.001).</w:t>
      </w:r>
    </w:p>
    <w:p>
      <w:pPr>
        <w:pStyle w:val="ListParagraph"/>
        <w:numPr>
          <w:ilvl w:val="0"/>
          <w:numId w:val="2"/>
        </w:numPr>
        <w:spacing w:lineRule="auto" w:line="360" w:before="60" w:after="60"/>
        <w:rPr/>
      </w:pPr>
      <w:r>
        <w:rPr>
          <w:rFonts w:eastAsia="Times New Roman" w:cs="Times New Roman"/>
          <w:sz w:val="24"/>
          <w:szCs w:val="24"/>
        </w:rPr>
        <w:t>mortalidad_int (VD en H₂): Variable binaria 0/1; tasa 4.05% — severo desbalance de clase.</w:t>
      </w:r>
    </w:p>
    <w:p>
      <w:pPr>
        <w:pStyle w:val="ListParagraph"/>
        <w:numPr>
          <w:ilvl w:val="0"/>
          <w:numId w:val="2"/>
        </w:numPr>
        <w:spacing w:lineRule="auto" w:line="360" w:before="60" w:after="60"/>
        <w:rPr/>
      </w:pPr>
      <w:r>
        <w:rPr>
          <w:rFonts w:eastAsia="Times New Roman" w:cs="Times New Roman"/>
          <w:sz w:val="24"/>
          <w:szCs w:val="24"/>
        </w:rPr>
        <w:t>severidad_grd: Escala ordinal 1–4, proxy de complejidad clínica del episodio.</w:t>
      </w:r>
    </w:p>
    <w:p>
      <w:pPr>
        <w:pStyle w:val="ListParagraph"/>
        <w:numPr>
          <w:ilvl w:val="0"/>
          <w:numId w:val="2"/>
        </w:numPr>
        <w:spacing w:lineRule="auto" w:line="360" w:before="60" w:after="60"/>
        <w:rPr/>
      </w:pPr>
      <w:r>
        <w:rPr>
          <w:rFonts w:eastAsia="Times New Roman" w:cs="Times New Roman"/>
          <w:sz w:val="24"/>
          <w:szCs w:val="24"/>
        </w:rPr>
        <w:t>peso_grd: Variable continua, proxy de consumo relativo de recursos.</w:t>
      </w:r>
    </w:p>
    <w:p>
      <w:pPr>
        <w:pStyle w:val="ListParagraph"/>
        <w:numPr>
          <w:ilvl w:val="0"/>
          <w:numId w:val="2"/>
        </w:numPr>
        <w:spacing w:lineRule="auto" w:line="360" w:before="60" w:after="60"/>
        <w:rPr/>
      </w:pPr>
      <w:r>
        <w:rPr>
          <w:rFonts w:eastAsia="Times New Roman" w:cs="Times New Roman"/>
          <w:sz w:val="24"/>
          <w:szCs w:val="24"/>
        </w:rPr>
        <w:t>comorbilidad: Conteo de diagnósticos secundarios activos (proxy Charlson-Deyo simplificado).</w:t>
      </w:r>
    </w:p>
    <w:p>
      <w:pPr>
        <w:pStyle w:val="ListParagraph"/>
        <w:numPr>
          <w:ilvl w:val="0"/>
          <w:numId w:val="2"/>
        </w:numPr>
        <w:spacing w:lineRule="auto" w:line="360" w:before="60" w:after="60"/>
        <w:rPr/>
      </w:pPr>
      <w:r>
        <w:rPr>
          <w:rFonts w:eastAsia="Times New Roman" w:cs="Times New Roman"/>
          <w:sz w:val="24"/>
          <w:szCs w:val="24"/>
        </w:rPr>
        <w:t>IDH comunal: Índice de Desarrollo Humano municipal 2024, vinculado por nombre de comuna normalizado.</w:t>
      </w:r>
    </w:p>
    <w:p>
      <w:pPr>
        <w:pStyle w:val="Normal"/>
        <w:spacing w:lineRule="auto" w:line="360" w:before="0" w:after="160"/>
        <w:jc w:val="both"/>
        <w:rPr/>
      </w:pPr>
      <w:r>
        <w:rPr/>
      </w:r>
    </w:p>
    <w:p>
      <w:pPr>
        <w:pStyle w:val="Normal"/>
        <w:spacing w:lineRule="auto" w:line="360" w:before="0" w:after="160"/>
        <w:jc w:val="both"/>
        <w:rPr/>
      </w:pPr>
      <w:r>
        <w:rPr/>
      </w:r>
    </w:p>
    <w:p>
      <w:pPr>
        <w:pStyle w:val="Normal"/>
        <w:spacing w:lineRule="auto" w:line="360" w:before="0" w:after="160"/>
        <w:jc w:val="both"/>
        <w:rPr/>
      </w:pPr>
      <w:r>
        <w:rPr/>
      </w:r>
    </w:p>
    <w:p>
      <w:pPr>
        <w:pStyle w:val="Heading1"/>
        <w:pBdr>
          <w:bottom w:val="single" w:sz="6" w:space="0" w:color="1F497D"/>
        </w:pBdr>
        <w:spacing w:before="360" w:after="180"/>
        <w:rPr/>
      </w:pPr>
      <w:r>
        <w:rPr>
          <w:rFonts w:eastAsia="Times New Roman" w:cs="Times New Roman"/>
          <w:b/>
          <w:bCs/>
          <w:color w:val="1F497D"/>
          <w:sz w:val="28"/>
          <w:szCs w:val="28"/>
        </w:rPr>
        <w:t>4. Limpieza y Preparación de Datos</w:t>
      </w:r>
    </w:p>
    <w:p>
      <w:pPr>
        <w:pStyle w:val="Normal"/>
        <w:spacing w:lineRule="auto" w:line="360" w:before="0" w:after="160"/>
        <w:jc w:val="both"/>
        <w:rPr>
          <w:rFonts w:ascii="Times New Roman" w:hAnsi="Times New Roman" w:eastAsia="Times New Roman" w:cs="Times New Roman"/>
          <w:sz w:val="24"/>
          <w:szCs w:val="24"/>
        </w:rPr>
      </w:pPr>
      <w:r>
        <w:rPr>
          <w:rFonts w:eastAsia="Times New Roman" w:cs="Times New Roman"/>
          <w:sz w:val="24"/>
          <w:szCs w:val="24"/>
        </w:rPr>
        <w:t>El pipeline de limpieza constó de 5 etapas secuenciales que se documentan en la Tabla 2, junto con su efecto cuantitativo sobre el tamaño muestral.</w:t>
      </w:r>
    </w:p>
    <w:p>
      <w:pPr>
        <w:pStyle w:val="Normal"/>
        <w:spacing w:before="120" w:after="60"/>
        <w:jc w:val="start"/>
        <w:rPr/>
      </w:pPr>
      <w:r>
        <w:rPr>
          <w:rFonts w:eastAsia="Times New Roman" w:cs="Times New Roman"/>
          <w:b/>
          <w:bCs/>
          <w:sz w:val="20"/>
          <w:szCs w:val="20"/>
        </w:rPr>
        <w:t>Tabla 2. Pipeline de limpieza de datos con efecto cuantitativo por etapa.</w:t>
      </w:r>
    </w:p>
    <w:tbl>
      <w:tblPr>
        <w:tblW w:w="9070" w:type="dxa"/>
        <w:jc w:val="start"/>
        <w:tblInd w:w="0" w:type="dxa"/>
        <w:tblLayout w:type="fixed"/>
        <w:tblCellMar>
          <w:top w:w="60" w:type="dxa"/>
          <w:start w:w="100" w:type="dxa"/>
          <w:bottom w:w="60" w:type="dxa"/>
          <w:end w:w="100" w:type="dxa"/>
        </w:tblCellMar>
      </w:tblPr>
      <w:tblGrid>
        <w:gridCol w:w="633"/>
        <w:gridCol w:w="3901"/>
        <w:gridCol w:w="2268"/>
        <w:gridCol w:w="2268"/>
      </w:tblGrid>
      <w:tr>
        <w:trPr/>
        <w:tc>
          <w:tcPr>
            <w:tcW w:w="633"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Etapa</w:t>
            </w:r>
          </w:p>
        </w:tc>
        <w:tc>
          <w:tcPr>
            <w:tcW w:w="3901"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Operación</w:t>
            </w:r>
          </w:p>
        </w:tc>
        <w:tc>
          <w:tcPr>
            <w:tcW w:w="2268"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N resultante</w:t>
            </w:r>
          </w:p>
        </w:tc>
        <w:tc>
          <w:tcPr>
            <w:tcW w:w="2268"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Δ</w:t>
            </w:r>
          </w:p>
        </w:tc>
      </w:tr>
      <w:tr>
        <w:trPr/>
        <w:tc>
          <w:tcPr>
            <w:tcW w:w="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w:t>
            </w:r>
          </w:p>
        </w:tc>
        <w:tc>
          <w:tcPr>
            <w:tcW w:w="39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Filtro CIE-10 C00–D49</w:t>
            </w:r>
          </w:p>
        </w:tc>
        <w:tc>
          <w:tcPr>
            <w:tcW w:w="226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~421.824</w:t>
            </w:r>
          </w:p>
        </w:tc>
        <w:tc>
          <w:tcPr>
            <w:tcW w:w="226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r>
              <w:rPr>
                <w:rFonts w:eastAsia="Times New Roman" w:cs="Times New Roman"/>
                <w:sz w:val="18"/>
                <w:szCs w:val="18"/>
              </w:rPr>
              <w:t>35.893</w:t>
            </w:r>
          </w:p>
        </w:tc>
      </w:tr>
      <w:tr>
        <w:trPr/>
        <w:tc>
          <w:tcPr>
            <w:tcW w:w="63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2</w:t>
            </w:r>
          </w:p>
        </w:tc>
        <w:tc>
          <w:tcPr>
            <w:tcW w:w="390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Exclusión egresos obstétricos</w:t>
            </w:r>
          </w:p>
        </w:tc>
        <w:tc>
          <w:tcPr>
            <w:tcW w:w="226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~421.033</w:t>
            </w:r>
          </w:p>
        </w:tc>
        <w:tc>
          <w:tcPr>
            <w:tcW w:w="226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r>
              <w:rPr>
                <w:rFonts w:eastAsia="Times New Roman" w:cs="Times New Roman"/>
                <w:sz w:val="18"/>
                <w:szCs w:val="18"/>
              </w:rPr>
              <w:t>791</w:t>
            </w:r>
          </w:p>
        </w:tc>
      </w:tr>
      <w:tr>
        <w:trPr/>
        <w:tc>
          <w:tcPr>
            <w:tcW w:w="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3</w:t>
            </w:r>
          </w:p>
        </w:tc>
        <w:tc>
          <w:tcPr>
            <w:tcW w:w="39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Truncación outliers dias_estada (P99=25 días) + fix tipos</w:t>
            </w:r>
          </w:p>
        </w:tc>
        <w:tc>
          <w:tcPr>
            <w:tcW w:w="226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~418.212</w:t>
            </w:r>
          </w:p>
        </w:tc>
        <w:tc>
          <w:tcPr>
            <w:tcW w:w="226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r>
              <w:rPr>
                <w:rFonts w:eastAsia="Times New Roman" w:cs="Times New Roman"/>
                <w:sz w:val="18"/>
                <w:szCs w:val="18"/>
              </w:rPr>
              <w:t>2.821</w:t>
            </w:r>
          </w:p>
        </w:tc>
      </w:tr>
      <w:tr>
        <w:trPr/>
        <w:tc>
          <w:tcPr>
            <w:tcW w:w="63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4</w:t>
            </w:r>
          </w:p>
        </w:tc>
        <w:tc>
          <w:tcPr>
            <w:tcW w:w="390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Subconjunto focal C16.*</w:t>
            </w:r>
          </w:p>
        </w:tc>
        <w:tc>
          <w:tcPr>
            <w:tcW w:w="226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~17.335</w:t>
            </w:r>
          </w:p>
        </w:tc>
        <w:tc>
          <w:tcPr>
            <w:tcW w:w="226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r>
      <w:tr>
        <w:trPr/>
        <w:tc>
          <w:tcPr>
            <w:tcW w:w="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w:t>
            </w:r>
          </w:p>
        </w:tc>
        <w:tc>
          <w:tcPr>
            <w:tcW w:w="39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Top 15 hospitales (≥30 casos C16.*)</w:t>
            </w:r>
          </w:p>
        </w:tc>
        <w:tc>
          <w:tcPr>
            <w:tcW w:w="226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9.855</w:t>
            </w:r>
          </w:p>
        </w:tc>
        <w:tc>
          <w:tcPr>
            <w:tcW w:w="226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p>
        </w:tc>
      </w:tr>
    </w:tbl>
    <w:p>
      <w:pPr>
        <w:pStyle w:val="Normal"/>
        <w:spacing w:lineRule="auto" w:line="360" w:before="0" w:after="160"/>
        <w:jc w:val="both"/>
        <w:rPr/>
      </w:pPr>
      <w:r>
        <w:rPr/>
      </w:r>
    </w:p>
    <w:p>
      <w:pPr>
        <w:pStyle w:val="Heading2"/>
        <w:spacing w:before="240" w:after="120"/>
        <w:rPr/>
      </w:pPr>
      <w:r>
        <w:rPr>
          <w:rFonts w:eastAsia="Times New Roman" w:cs="Times New Roman"/>
          <w:b/>
          <w:bCs/>
          <w:color w:val="2E4DAA"/>
          <w:sz w:val="24"/>
          <w:szCs w:val="24"/>
        </w:rPr>
        <w:t>4.1 Decisiones metodológicas justificadas</w:t>
      </w:r>
    </w:p>
    <w:p>
      <w:pPr>
        <w:pStyle w:val="ListParagraph"/>
        <w:numPr>
          <w:ilvl w:val="0"/>
          <w:numId w:val="2"/>
        </w:numPr>
        <w:spacing w:lineRule="auto" w:line="360" w:before="60" w:after="60"/>
        <w:rPr/>
      </w:pPr>
      <w:r>
        <w:rPr>
          <w:rFonts w:eastAsia="Times New Roman" w:cs="Times New Roman"/>
          <w:b/>
          <w:bCs/>
          <w:sz w:val="24"/>
          <w:szCs w:val="24"/>
        </w:rPr>
        <w:t>Elección P99 (no P95 ni P99.9):</w:t>
      </w:r>
      <w:r>
        <w:rPr>
          <w:rFonts w:eastAsia="Times New Roman" w:cs="Times New Roman"/>
          <w:sz w:val="24"/>
          <w:szCs w:val="24"/>
        </w:rPr>
        <w:t xml:space="preserve"> Elección P99 (no P95 ni P99.9):</w:t>
      </w:r>
    </w:p>
    <w:p>
      <w:pPr>
        <w:pStyle w:val="Normal"/>
        <w:spacing w:lineRule="auto" w:line="360" w:before="0" w:after="120"/>
        <w:ind w:start="720"/>
        <w:jc w:val="both"/>
        <w:rPr/>
      </w:pPr>
      <w:r>
        <w:rPr>
          <w:rFonts w:eastAsia="Times New Roman" w:cs="Times New Roman"/>
          <w:sz w:val="24"/>
          <w:szCs w:val="24"/>
        </w:rPr>
        <w:t>El percentil 99 (=25 días) excluye hospitalizaciones excepcionales sin sesgar la distribución para pacientes oncológicos con estadías largas pero clínicamente típicas. Un corte más agresivo (P95) eliminaría casos relevantes; uno más laxo (P99.9) mantendría valores extremos que distorsionan los modelos.</w:t>
      </w:r>
    </w:p>
    <w:p>
      <w:pPr>
        <w:pStyle w:val="ListParagraph"/>
        <w:numPr>
          <w:ilvl w:val="0"/>
          <w:numId w:val="2"/>
        </w:numPr>
        <w:spacing w:lineRule="auto" w:line="360" w:before="60" w:after="60"/>
        <w:rPr/>
      </w:pPr>
      <w:r>
        <w:rPr>
          <w:rFonts w:eastAsia="Times New Roman" w:cs="Times New Roman"/>
          <w:b/>
          <w:bCs/>
          <w:sz w:val="24"/>
          <w:szCs w:val="24"/>
        </w:rPr>
        <w:t>Exclusión obstétrica:</w:t>
      </w:r>
      <w:r>
        <w:rPr>
          <w:rFonts w:eastAsia="Times New Roman" w:cs="Times New Roman"/>
          <w:sz w:val="24"/>
          <w:szCs w:val="24"/>
        </w:rPr>
        <w:t xml:space="preserve"> Exclusión obstétrica:</w:t>
      </w:r>
    </w:p>
    <w:p>
      <w:pPr>
        <w:pStyle w:val="Normal"/>
        <w:spacing w:lineRule="auto" w:line="360" w:before="0" w:after="120"/>
        <w:ind w:start="720"/>
        <w:jc w:val="both"/>
        <w:rPr/>
      </w:pPr>
      <w:r>
        <w:rPr>
          <w:rFonts w:eastAsia="Times New Roman" w:cs="Times New Roman"/>
          <w:sz w:val="24"/>
          <w:szCs w:val="24"/>
        </w:rPr>
        <w:t>Los egresos obstétricos tienen lógica clínica incomparable con el cáncer gástrico; incluirlos sesgaría los perfiles de procedimientos y severidad.</w:t>
      </w:r>
    </w:p>
    <w:p>
      <w:pPr>
        <w:pStyle w:val="ListParagraph"/>
        <w:numPr>
          <w:ilvl w:val="0"/>
          <w:numId w:val="2"/>
        </w:numPr>
        <w:spacing w:lineRule="auto" w:line="360" w:before="60" w:after="60"/>
        <w:rPr/>
      </w:pPr>
      <w:r>
        <w:rPr>
          <w:rFonts w:eastAsia="Times New Roman" w:cs="Times New Roman"/>
          <w:b/>
          <w:bCs/>
          <w:sz w:val="24"/>
          <w:szCs w:val="24"/>
        </w:rPr>
        <w:t>Variable comorbilidad:</w:t>
      </w:r>
      <w:r>
        <w:rPr>
          <w:rFonts w:eastAsia="Times New Roman" w:cs="Times New Roman"/>
          <w:sz w:val="24"/>
          <w:szCs w:val="24"/>
        </w:rPr>
        <w:t xml:space="preserve"> Variable comorbilidad:</w:t>
      </w:r>
    </w:p>
    <w:p>
      <w:pPr>
        <w:pStyle w:val="Normal"/>
        <w:spacing w:lineRule="auto" w:line="360" w:before="0" w:after="120"/>
        <w:ind w:start="720"/>
        <w:jc w:val="both"/>
        <w:rPr/>
      </w:pPr>
      <w:r>
        <w:rPr>
          <w:rFonts w:eastAsia="Times New Roman" w:cs="Times New Roman"/>
          <w:sz w:val="24"/>
          <w:szCs w:val="24"/>
        </w:rPr>
        <w:t>Conteo de diagnósticos secundarios activos (campos DIAG2–DIAG35, excluyendo el diagnóstico principal) como proxy simplificado del índice Charlson-Deyo.</w:t>
      </w:r>
    </w:p>
    <w:p>
      <w:pPr>
        <w:pStyle w:val="ListParagraph"/>
        <w:numPr>
          <w:ilvl w:val="0"/>
          <w:numId w:val="2"/>
        </w:numPr>
        <w:spacing w:lineRule="auto" w:line="360" w:before="60" w:after="60"/>
        <w:rPr/>
      </w:pPr>
      <w:r>
        <w:rPr>
          <w:rFonts w:eastAsia="Times New Roman" w:cs="Times New Roman"/>
          <w:b/>
          <w:bCs/>
          <w:sz w:val="24"/>
          <w:szCs w:val="24"/>
        </w:rPr>
        <w:t>Transformación logarítmica:</w:t>
      </w:r>
      <w:r>
        <w:rPr>
          <w:rFonts w:eastAsia="Times New Roman" w:cs="Times New Roman"/>
          <w:sz w:val="24"/>
          <w:szCs w:val="24"/>
        </w:rPr>
        <w:t xml:space="preserve"> Transformación logarítmica:</w:t>
      </w:r>
    </w:p>
    <w:p>
      <w:pPr>
        <w:pStyle w:val="Normal"/>
        <w:spacing w:lineRule="auto" w:line="360" w:before="0" w:after="160"/>
        <w:ind w:start="720"/>
        <w:jc w:val="both"/>
        <w:rPr/>
      </w:pPr>
      <w:r>
        <w:rPr>
          <w:rFonts w:eastAsia="Times New Roman" w:cs="Times New Roman"/>
          <w:sz w:val="24"/>
          <w:szCs w:val="24"/>
        </w:rPr>
        <w:t>log_dias = log(1 + dias_estada) justificada por asimetría &gt;1.63 en la distribución original; la transformación reduce la asimetría a −0.32.</w:t>
      </w:r>
    </w:p>
    <w:p>
      <w:pPr>
        <w:pStyle w:val="Normal"/>
        <w:spacing w:lineRule="auto" w:line="360" w:before="0" w:after="160"/>
        <w:jc w:val="both"/>
        <w:rPr/>
      </w:pPr>
      <w:r>
        <w:rPr/>
      </w:r>
    </w:p>
    <w:p>
      <w:pPr>
        <w:pStyle w:val="Heading1"/>
        <w:pBdr>
          <w:bottom w:val="single" w:sz="6" w:space="0" w:color="1F497D"/>
        </w:pBdr>
        <w:spacing w:before="360" w:after="180"/>
        <w:rPr/>
      </w:pPr>
      <w:r>
        <w:rPr>
          <w:rFonts w:eastAsia="Times New Roman" w:cs="Times New Roman"/>
          <w:b/>
          <w:bCs/>
          <w:color w:val="1F497D"/>
          <w:sz w:val="28"/>
          <w:szCs w:val="28"/>
        </w:rPr>
        <w:t>5. Análisis Exploratorio de Datos (EDA)</w:t>
      </w:r>
    </w:p>
    <w:p>
      <w:pPr>
        <w:pStyle w:val="Heading2"/>
        <w:spacing w:before="240" w:after="120"/>
        <w:rPr/>
      </w:pPr>
      <w:r>
        <w:rPr>
          <w:rFonts w:eastAsia="Times New Roman" w:cs="Times New Roman"/>
          <w:b/>
          <w:bCs/>
          <w:color w:val="2E4DAA"/>
          <w:sz w:val="24"/>
          <w:szCs w:val="24"/>
        </w:rPr>
        <w:t>5.1 Estadística descriptiva</w:t>
      </w:r>
    </w:p>
    <w:p>
      <w:pPr>
        <w:pStyle w:val="Normal"/>
        <w:spacing w:lineRule="auto" w:line="360" w:before="0" w:after="160"/>
        <w:jc w:val="both"/>
        <w:rPr>
          <w:rFonts w:ascii="Times New Roman" w:hAnsi="Times New Roman" w:eastAsia="Times New Roman" w:cs="Times New Roman"/>
          <w:sz w:val="24"/>
          <w:szCs w:val="24"/>
        </w:rPr>
      </w:pPr>
      <w:r>
        <w:rPr>
          <w:rFonts w:eastAsia="Times New Roman" w:cs="Times New Roman"/>
          <w:sz w:val="24"/>
          <w:szCs w:val="24"/>
        </w:rPr>
        <w:t>La Tabla 3 presenta las estadísticas descriptivas comparadas entre el universo oncológico C00–D49 y el subconjunto de cáncer gástrico C16.*.</w:t>
      </w:r>
    </w:p>
    <w:p>
      <w:pPr>
        <w:pStyle w:val="Normal"/>
        <w:spacing w:lineRule="auto" w:line="360" w:before="0" w:after="16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120" w:after="60"/>
        <w:jc w:val="start"/>
        <w:rPr/>
      </w:pPr>
      <w:r>
        <w:rPr>
          <w:rFonts w:eastAsia="Times New Roman" w:cs="Times New Roman"/>
          <w:b/>
          <w:bCs/>
          <w:sz w:val="20"/>
          <w:szCs w:val="20"/>
        </w:rPr>
        <w:t>Tabla 3. Estadísticas descriptivas del estudio. *Restringido a top 15 hospitales (≥30 egresos C16.* cada uno).</w:t>
      </w:r>
    </w:p>
    <w:tbl>
      <w:tblPr>
        <w:tblW w:w="9070" w:type="dxa"/>
        <w:jc w:val="start"/>
        <w:tblInd w:w="0" w:type="dxa"/>
        <w:tblLayout w:type="fixed"/>
        <w:tblCellMar>
          <w:top w:w="60" w:type="dxa"/>
          <w:start w:w="100" w:type="dxa"/>
          <w:bottom w:w="60" w:type="dxa"/>
          <w:end w:w="100" w:type="dxa"/>
        </w:tblCellMar>
      </w:tblPr>
      <w:tblGrid>
        <w:gridCol w:w="3900"/>
        <w:gridCol w:w="2585"/>
        <w:gridCol w:w="2585"/>
      </w:tblGrid>
      <w:tr>
        <w:trPr/>
        <w:tc>
          <w:tcPr>
            <w:tcW w:w="3900"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Variable</w:t>
            </w:r>
          </w:p>
        </w:tc>
        <w:tc>
          <w:tcPr>
            <w:tcW w:w="2585"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C00–D49 (n=421.824)</w:t>
            </w:r>
          </w:p>
        </w:tc>
        <w:tc>
          <w:tcPr>
            <w:tcW w:w="2585"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C16.* (n=9.855*)</w:t>
            </w:r>
          </w:p>
        </w:tc>
      </w:tr>
      <w:tr>
        <w:trPr/>
        <w:tc>
          <w:tcPr>
            <w:tcW w:w="3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Edad, media ± DE (años)</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59.8 ± 15.4</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63.2 ± 13.1</w:t>
            </w:r>
          </w:p>
        </w:tc>
      </w:tr>
      <w:tr>
        <w:trPr/>
        <w:tc>
          <w:tcPr>
            <w:tcW w:w="3900"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Sexo masculino (%)</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48.1</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60.3</w:t>
            </w:r>
          </w:p>
        </w:tc>
      </w:tr>
      <w:tr>
        <w:trPr/>
        <w:tc>
          <w:tcPr>
            <w:tcW w:w="3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Días estadía, mediana [IQR]</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 [2–10]</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7 [3–12]</w:t>
            </w:r>
          </w:p>
        </w:tc>
      </w:tr>
      <w:tr>
        <w:trPr/>
        <w:tc>
          <w:tcPr>
            <w:tcW w:w="3900"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Procedimientos, mediana [IQR]</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2 [1–4]</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3 [1–6]</w:t>
            </w:r>
          </w:p>
        </w:tc>
      </w:tr>
      <w:tr>
        <w:trPr/>
        <w:tc>
          <w:tcPr>
            <w:tcW w:w="3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Severidad GRD, media ± DE</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1.82 ± 0.91</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2.14 ± 0.88</w:t>
            </w:r>
          </w:p>
        </w:tc>
      </w:tr>
      <w:tr>
        <w:trPr/>
        <w:tc>
          <w:tcPr>
            <w:tcW w:w="3900"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Peso GRD, media ± DE</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1.31 ± 1.02</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1.68 ± 1.24</w:t>
            </w:r>
          </w:p>
        </w:tc>
      </w:tr>
      <w:tr>
        <w:trPr/>
        <w:tc>
          <w:tcPr>
            <w:tcW w:w="3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Comorbilidades, media ± DE</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1.43 ± 1.78</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1.61 ± 1.84</w:t>
            </w:r>
          </w:p>
        </w:tc>
      </w:tr>
      <w:tr>
        <w:trPr/>
        <w:tc>
          <w:tcPr>
            <w:tcW w:w="3900"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Ingreso urgencia (%)</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38.9</w:t>
            </w:r>
          </w:p>
        </w:tc>
        <w:tc>
          <w:tcPr>
            <w:tcW w:w="258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42.7</w:t>
            </w:r>
          </w:p>
        </w:tc>
      </w:tr>
      <w:tr>
        <w:trPr/>
        <w:tc>
          <w:tcPr>
            <w:tcW w:w="3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Mortalidad intrahospitalaria (%)</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2.31</w:t>
            </w:r>
          </w:p>
        </w:tc>
        <w:tc>
          <w:tcPr>
            <w:tcW w:w="258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4.05</w:t>
            </w:r>
          </w:p>
        </w:tc>
      </w:tr>
    </w:tbl>
    <w:p>
      <w:pPr>
        <w:pStyle w:val="Normal"/>
        <w:spacing w:lineRule="auto" w:line="360" w:before="0" w:after="160"/>
        <w:jc w:val="both"/>
        <w:rPr/>
      </w:pPr>
      <w:r>
        <w:rPr/>
      </w:r>
    </w:p>
    <w:p>
      <w:pPr>
        <w:pStyle w:val="Normal"/>
        <w:spacing w:lineRule="auto" w:line="360" w:before="0" w:after="160"/>
        <w:jc w:val="both"/>
        <w:rPr/>
      </w:pPr>
      <w:r>
        <w:rPr>
          <w:rFonts w:eastAsia="Times New Roman" w:cs="Times New Roman"/>
          <w:sz w:val="24"/>
          <w:szCs w:val="24"/>
        </w:rPr>
        <w:t>Los pacientes con cáncer gástrico presentan: mayor edad promedio (+3.4 años), mayor proporción masculina (+12.2 pp), estadías más largas (+2 días en mediana), mayor intensidad terapéutica (+1 procedimiento mediano), mayor severidad clínica (2.14 vs. 1.82) y tasa de mortalidad casi el doble que el universo oncológico general (4.05% vs. 2.31%). Este perfil es consistente con un cáncer de presentación tardía y alta carga de enfermedad.</w:t>
      </w:r>
      <w:r>
        <w:rPr>
          <w:i/>
          <w:sz w:val="20"/>
        </w:rPr>
        <w:t xml:space="preserve"> (véase Figura A1 en Anexo para las distribuciones univariadas y Figura A2 para la matriz de correlación).</w:t>
      </w:r>
    </w:p>
    <w:p>
      <w:pPr>
        <w:pStyle w:val="Heading2"/>
        <w:spacing w:before="240" w:after="120"/>
        <w:rPr/>
      </w:pPr>
      <w:r>
        <w:rPr>
          <w:rFonts w:eastAsia="Times New Roman" w:cs="Times New Roman"/>
          <w:b/>
          <w:bCs/>
          <w:color w:val="2E4DAA"/>
          <w:sz w:val="24"/>
          <w:szCs w:val="24"/>
        </w:rPr>
        <w:t>5.2 Visualizaciones exploratorias (Figuras 1–6)</w:t>
      </w:r>
    </w:p>
    <w:p>
      <w:pPr>
        <w:pStyle w:val="ListParagraph"/>
        <w:numPr>
          <w:ilvl w:val="0"/>
          <w:numId w:val="2"/>
        </w:numPr>
        <w:spacing w:lineRule="auto" w:line="360" w:before="60" w:after="60"/>
        <w:rPr/>
      </w:pPr>
      <w:r>
        <w:rPr>
          <w:rFonts w:eastAsia="Times New Roman" w:cs="Times New Roman"/>
          <w:sz w:val="24"/>
          <w:szCs w:val="24"/>
        </w:rPr>
        <w:t>Figura 1 (distribuciones univariadas): dias_estada y cantidad_procedimientos muestran fuerte asimetría positiva, justificando la transformación logarítmica y el uso de tests no paramétricos.</w:t>
      </w:r>
      <w:r>
        <w:rPr>
          <w:i/>
          <w:sz w:val="20"/>
        </w:rPr>
        <w:t xml:space="preserve"> (véase Figura A1 en Anexo).</w:t>
      </w:r>
    </w:p>
    <w:p>
      <w:pPr>
        <w:pStyle w:val="ListParagraph"/>
        <w:numPr>
          <w:ilvl w:val="0"/>
          <w:numId w:val="2"/>
        </w:numPr>
        <w:spacing w:lineRule="auto" w:line="360" w:before="60" w:after="60"/>
        <w:rPr/>
      </w:pPr>
      <w:r>
        <w:rPr>
          <w:rFonts w:eastAsia="Times New Roman" w:cs="Times New Roman"/>
          <w:sz w:val="24"/>
          <w:szCs w:val="24"/>
        </w:rPr>
        <w:t>Figura 2 (correlación de Pearson): Correlación positiva procedimientos–días estadía (r ≈ 0.55), motivando H₃. Correlación moderada severidad–días estadía (r ≈ 0.48).</w:t>
      </w:r>
      <w:r>
        <w:rPr>
          <w:i/>
          <w:sz w:val="20"/>
        </w:rPr>
        <w:t xml:space="preserve"> (véase Figura A2 en Anexo).</w:t>
      </w:r>
    </w:p>
    <w:p>
      <w:pPr>
        <w:pStyle w:val="ListParagraph"/>
        <w:numPr>
          <w:ilvl w:val="0"/>
          <w:numId w:val="2"/>
        </w:numPr>
        <w:spacing w:lineRule="auto" w:line="360" w:before="60" w:after="60"/>
        <w:rPr/>
      </w:pPr>
      <w:r>
        <w:rPr>
          <w:rFonts w:eastAsia="Times New Roman" w:cs="Times New Roman"/>
          <w:sz w:val="24"/>
          <w:szCs w:val="24"/>
        </w:rPr>
        <w:t>Figura 3 (boxplot días por hospital): La mediana de días varía de 3 a 9 días entre hospitales para el mismo diagnóstico — hallazgo visual central del estudio.</w:t>
      </w:r>
      <w:r>
        <w:rPr>
          <w:i/>
          <w:sz w:val="20"/>
        </w:rPr>
        <w:t xml:space="preserve"> (véase Figura A3 en Anexo).</w:t>
      </w:r>
    </w:p>
    <w:p>
      <w:pPr>
        <w:pStyle w:val="ListParagraph"/>
        <w:numPr>
          <w:ilvl w:val="0"/>
          <w:numId w:val="2"/>
        </w:numPr>
        <w:spacing w:lineRule="auto" w:line="360" w:before="60" w:after="60"/>
        <w:rPr/>
      </w:pPr>
      <w:r>
        <w:rPr>
          <w:rFonts w:eastAsia="Times New Roman" w:cs="Times New Roman"/>
          <w:sz w:val="24"/>
          <w:szCs w:val="24"/>
        </w:rPr>
        <w:t>Figura 4 (mortalidad por hospital): Diferencia de hasta 12 puntos porcentuales entre el hospital con menor y mayor mortalidad intrahospitalaria.</w:t>
      </w:r>
      <w:r>
        <w:rPr>
          <w:i/>
          <w:sz w:val="20"/>
        </w:rPr>
        <w:t xml:space="preserve"> (véase Figura A4 en Anexo).</w:t>
      </w:r>
    </w:p>
    <w:p>
      <w:pPr>
        <w:pStyle w:val="ListParagraph"/>
        <w:numPr>
          <w:ilvl w:val="0"/>
          <w:numId w:val="2"/>
        </w:numPr>
        <w:spacing w:lineRule="auto" w:line="360" w:before="60" w:after="60"/>
        <w:rPr/>
      </w:pPr>
      <w:r>
        <w:rPr>
          <w:rFonts w:eastAsia="Times New Roman" w:cs="Times New Roman"/>
          <w:sz w:val="24"/>
          <w:szCs w:val="24"/>
        </w:rPr>
        <w:t>Figura 5 (procedimientos por hospital): Diferencia de hasta 6 procedimientos promedio entre hospitales para el mismo diagnóstico.</w:t>
      </w:r>
      <w:r>
        <w:rPr>
          <w:i/>
          <w:sz w:val="20"/>
        </w:rPr>
        <w:t xml:space="preserve"> (véase Figura A5 en Anexo).</w:t>
      </w:r>
    </w:p>
    <w:p>
      <w:pPr>
        <w:pStyle w:val="ListParagraph"/>
        <w:numPr>
          <w:ilvl w:val="0"/>
          <w:numId w:val="2"/>
        </w:numPr>
        <w:spacing w:lineRule="auto" w:line="360" w:before="60" w:after="60"/>
        <w:rPr/>
      </w:pPr>
      <w:r>
        <w:rPr>
          <w:rFonts w:eastAsia="Times New Roman" w:cs="Times New Roman"/>
          <w:sz w:val="24"/>
          <w:szCs w:val="24"/>
        </w:rPr>
        <w:t>Figura 6 (urgencias por sexo): Los hombres representan ~60% de los ingresos; los ingresos de urgencia concentran mortalidad 13 veces mayor que los programados (13.9% vs. 1.1%).</w:t>
      </w:r>
      <w:r>
        <w:rPr>
          <w:i/>
          <w:sz w:val="20"/>
        </w:rPr>
        <w:t xml:space="preserve"> (véase Figura A6 en Anexo).</w:t>
      </w:r>
    </w:p>
    <w:p>
      <w:pPr>
        <w:pStyle w:val="Heading2"/>
        <w:spacing w:before="240" w:after="120"/>
        <w:rPr/>
      </w:pPr>
      <w:r>
        <w:rPr>
          <w:rFonts w:eastAsia="Times New Roman" w:cs="Times New Roman"/>
          <w:b/>
          <w:bCs/>
          <w:color w:val="2E4DAA"/>
          <w:sz w:val="24"/>
          <w:szCs w:val="24"/>
        </w:rPr>
        <w:t>5.3 Relaciones bivariadas relevantes</w:t>
      </w:r>
    </w:p>
    <w:p>
      <w:pPr>
        <w:pStyle w:val="Normal"/>
        <w:spacing w:lineRule="auto" w:line="360" w:before="0" w:after="160"/>
        <w:jc w:val="both"/>
        <w:rPr/>
      </w:pPr>
      <w:r>
        <w:rPr>
          <w:rFonts w:eastAsia="Times New Roman" w:cs="Times New Roman"/>
          <w:sz w:val="24"/>
          <w:szCs w:val="24"/>
        </w:rPr>
        <w:t>Mortalidad × Tipo de ingreso (Escenario B): diferencia de 12.86 pp entre urgencia y programada — el hallazgo bivariado más fuerte del EDA (χ²=849.1, p&lt;0.001). Mortalidad × Sexo (Escenario A): tendencia a mayor mortalidad en hombres (OR ≈ 1.2, no significativa al 5%). Tipo de alta × Hospital (Escenario C): residuos estandarizados revelan perfiles institucionales diferenciados (χ²=1.247, p&lt;0.001).</w:t>
      </w:r>
    </w:p>
    <w:p>
      <w:pPr>
        <w:pStyle w:val="Normal"/>
        <w:spacing w:lineRule="auto" w:line="360" w:before="0" w:after="160"/>
        <w:jc w:val="both"/>
        <w:rPr/>
      </w:pPr>
      <w:r>
        <w:rPr/>
      </w:r>
    </w:p>
    <w:p>
      <w:pPr>
        <w:pStyle w:val="Heading1"/>
        <w:pBdr>
          <w:bottom w:val="single" w:sz="6" w:space="0" w:color="1F497D"/>
        </w:pBdr>
        <w:spacing w:before="360" w:after="180"/>
        <w:rPr/>
      </w:pPr>
      <w:r>
        <w:rPr>
          <w:rFonts w:eastAsia="Times New Roman" w:cs="Times New Roman"/>
          <w:b/>
          <w:bCs/>
          <w:color w:val="1F497D"/>
          <w:sz w:val="28"/>
          <w:szCs w:val="28"/>
        </w:rPr>
        <w:t>6. Análisis Inferencial y Modelos</w:t>
      </w:r>
    </w:p>
    <w:p>
      <w:pPr>
        <w:pStyle w:val="Heading2"/>
        <w:spacing w:before="240" w:after="120"/>
        <w:rPr/>
      </w:pPr>
      <w:r>
        <w:rPr>
          <w:rFonts w:eastAsia="Times New Roman" w:cs="Times New Roman"/>
          <w:b/>
          <w:bCs/>
          <w:color w:val="2E4DAA"/>
          <w:sz w:val="24"/>
          <w:szCs w:val="24"/>
        </w:rPr>
        <w:t>6.1 Tests chi-cuadrado — Asociaciones categóricas</w:t>
      </w:r>
    </w:p>
    <w:p>
      <w:pPr>
        <w:pStyle w:val="Normal"/>
        <w:spacing w:before="120" w:after="60"/>
        <w:jc w:val="start"/>
        <w:rPr/>
      </w:pPr>
      <w:r>
        <w:rPr>
          <w:rFonts w:eastAsia="Times New Roman" w:cs="Times New Roman"/>
          <w:b/>
          <w:bCs/>
          <w:sz w:val="20"/>
          <w:szCs w:val="20"/>
        </w:rPr>
        <w:t>Tabla 4. Resultados de los tres tests chi-cuadrado exploratorios.</w:t>
      </w:r>
    </w:p>
    <w:tbl>
      <w:tblPr>
        <w:tblW w:w="9070" w:type="dxa"/>
        <w:jc w:val="start"/>
        <w:tblInd w:w="0" w:type="dxa"/>
        <w:tblLayout w:type="fixed"/>
        <w:tblCellMar>
          <w:top w:w="60" w:type="dxa"/>
          <w:start w:w="100" w:type="dxa"/>
          <w:bottom w:w="60" w:type="dxa"/>
          <w:end w:w="100" w:type="dxa"/>
        </w:tblCellMar>
      </w:tblPr>
      <w:tblGrid>
        <w:gridCol w:w="907"/>
        <w:gridCol w:w="2721"/>
        <w:gridCol w:w="1358"/>
        <w:gridCol w:w="907"/>
        <w:gridCol w:w="1363"/>
        <w:gridCol w:w="1814"/>
      </w:tblGrid>
      <w:tr>
        <w:trPr/>
        <w:tc>
          <w:tcPr>
            <w:tcW w:w="907"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Esc.</w:t>
            </w:r>
          </w:p>
        </w:tc>
        <w:tc>
          <w:tcPr>
            <w:tcW w:w="2721"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Variables</w:t>
            </w:r>
          </w:p>
        </w:tc>
        <w:tc>
          <w:tcPr>
            <w:tcW w:w="1358"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χ²</w:t>
            </w:r>
          </w:p>
        </w:tc>
        <w:tc>
          <w:tcPr>
            <w:tcW w:w="907"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df</w:t>
            </w:r>
          </w:p>
        </w:tc>
        <w:tc>
          <w:tcPr>
            <w:tcW w:w="1363"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p-valor</w:t>
            </w:r>
          </w:p>
        </w:tc>
        <w:tc>
          <w:tcPr>
            <w:tcW w:w="1814"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Decisión</w:t>
            </w:r>
          </w:p>
        </w:tc>
      </w:tr>
      <w:tr>
        <w:trPr/>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A</w:t>
            </w:r>
          </w:p>
        </w:tc>
        <w:tc>
          <w:tcPr>
            <w:tcW w:w="272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Mortalidad × Sexo</w:t>
            </w:r>
          </w:p>
        </w:tc>
        <w:tc>
          <w:tcPr>
            <w:tcW w:w="135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3.84</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w:t>
            </w:r>
          </w:p>
        </w:tc>
        <w:tc>
          <w:tcPr>
            <w:tcW w:w="136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0.050</w:t>
            </w:r>
          </w:p>
        </w:tc>
        <w:tc>
          <w:tcPr>
            <w:tcW w:w="181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Marginal</w:t>
            </w:r>
          </w:p>
        </w:tc>
      </w:tr>
      <w:tr>
        <w:trPr/>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B</w:t>
            </w:r>
          </w:p>
        </w:tc>
        <w:tc>
          <w:tcPr>
            <w:tcW w:w="272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Mortalidad × Tipo ingreso</w:t>
            </w:r>
          </w:p>
        </w:tc>
        <w:tc>
          <w:tcPr>
            <w:tcW w:w="1358"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849.1</w:t>
            </w:r>
          </w:p>
        </w:tc>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w:t>
            </w:r>
          </w:p>
        </w:tc>
        <w:tc>
          <w:tcPr>
            <w:tcW w:w="136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&lt;0.001</w:t>
            </w:r>
          </w:p>
        </w:tc>
        <w:tc>
          <w:tcPr>
            <w:tcW w:w="181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Se rechaza H₀</w:t>
            </w:r>
          </w:p>
        </w:tc>
      </w:tr>
      <w:tr>
        <w:trPr/>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C</w:t>
            </w:r>
          </w:p>
        </w:tc>
        <w:tc>
          <w:tcPr>
            <w:tcW w:w="272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Tipo alta × Hospital (top 10)</w:t>
            </w:r>
          </w:p>
        </w:tc>
        <w:tc>
          <w:tcPr>
            <w:tcW w:w="1358"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1.247</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27</w:t>
            </w:r>
          </w:p>
        </w:tc>
        <w:tc>
          <w:tcPr>
            <w:tcW w:w="136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&lt;0.001</w:t>
            </w:r>
          </w:p>
        </w:tc>
        <w:tc>
          <w:tcPr>
            <w:tcW w:w="181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Se rechaza H₀</w:t>
            </w:r>
          </w:p>
        </w:tc>
      </w:tr>
    </w:tbl>
    <w:p>
      <w:pPr>
        <w:pStyle w:val="Normal"/>
        <w:spacing w:lineRule="auto" w:line="360" w:before="0" w:after="160"/>
        <w:jc w:val="both"/>
        <w:rPr/>
      </w:pPr>
      <w:r>
        <w:rPr/>
      </w:r>
    </w:p>
    <w:p>
      <w:pPr>
        <w:pStyle w:val="Heading2"/>
        <w:spacing w:before="240" w:after="120"/>
        <w:rPr/>
      </w:pPr>
      <w:r>
        <w:rPr>
          <w:rFonts w:eastAsia="Times New Roman" w:cs="Times New Roman"/>
          <w:b/>
          <w:bCs/>
          <w:color w:val="2E4DAA"/>
          <w:sz w:val="24"/>
          <w:szCs w:val="24"/>
        </w:rPr>
        <w:t>6.2 Hipótesis 1 — Kruskal-Wallis + Dunn-Bonferroni</w:t>
      </w:r>
    </w:p>
    <w:p>
      <w:pPr>
        <w:pStyle w:val="Normal"/>
        <w:spacing w:lineRule="auto" w:line="360" w:before="0" w:after="160"/>
        <w:jc w:val="both"/>
        <w:rPr/>
      </w:pPr>
      <w:r>
        <w:rPr>
          <w:rFonts w:eastAsia="Times New Roman" w:cs="Times New Roman"/>
          <w:sz w:val="24"/>
          <w:szCs w:val="24"/>
        </w:rPr>
        <w:t>Justificación: El test Shapiro-Wilk rechazó la normalidad de cantidad_procedimientos (W=0.922, p&lt;0.001), justificando el uso de Kruskal-Wallis en lugar de ANOVA.</w:t>
      </w:r>
    </w:p>
    <w:p>
      <w:pPr>
        <w:pStyle w:val="Normal"/>
        <w:spacing w:lineRule="auto" w:line="360" w:before="0" w:after="160"/>
        <w:jc w:val="both"/>
        <w:rPr/>
      </w:pPr>
      <w:r>
        <w:rPr>
          <w:rFonts w:eastAsia="Times New Roman" w:cs="Times New Roman"/>
          <w:sz w:val="24"/>
          <w:szCs w:val="24"/>
        </w:rPr>
        <w:t>Resultados: El test Kruskal-Wallis sobre los 25 hospitales de mayor volumen (N=14.283) arrojó H(24)=412.3, p&lt;0.001, con ε²=0.08 (efecto medio-grande). El análisis post-hoc Dunn-Bonferroni identificó diferencias estadísticamente significativas en el 61.8% de todos los pares de hospitales. La variabilidad procedimental es estructural y no concentrada en uno o dos establecimientos atípicos: refleja heterogeneidad sistémica en la intensidad de tratamiento del sistema público chileno.</w:t>
      </w:r>
    </w:p>
    <w:p>
      <w:pPr>
        <w:pStyle w:val="Normal"/>
        <w:spacing w:lineRule="auto" w:line="360" w:before="0" w:after="160"/>
        <w:jc w:val="both"/>
        <w:rPr/>
      </w:pPr>
      <w:r>
        <w:rPr>
          <w:rFonts w:eastAsia="Times New Roman" w:cs="Times New Roman"/>
          <w:sz w:val="24"/>
          <w:szCs w:val="24"/>
        </w:rPr>
        <w:t>Interpretación clínica: Un paciente con cáncer gástrico del mismo nivel de severidad recibe, en promedio, un número significativamente distinto de procedimientos dependiendo del hospital donde es atendido. Esta variabilidad no justificada tiene implicaciones directas para los resultados clínicos y la equidad en salud.</w:t>
      </w:r>
      <w:r>
        <w:rPr>
          <w:i/>
          <w:sz w:val="20"/>
        </w:rPr>
        <w:t xml:space="preserve"> (véase Figura A7 en Anexo para el heatmap post-hoc Dunn-Bonferroni).</w:t>
      </w:r>
    </w:p>
    <w:p>
      <w:pPr>
        <w:pStyle w:val="Heading2"/>
        <w:spacing w:before="240" w:after="120"/>
        <w:rPr/>
      </w:pPr>
      <w:r>
        <w:rPr>
          <w:rFonts w:eastAsia="Times New Roman" w:cs="Times New Roman"/>
          <w:b/>
          <w:bCs/>
          <w:color w:val="2E4DAA"/>
          <w:sz w:val="24"/>
          <w:szCs w:val="24"/>
        </w:rPr>
        <w:t>6.3 Hipótesis 2 — Regresión Logística (mortalidad intrahospitalaria)</w:t>
      </w:r>
    </w:p>
    <w:p>
      <w:pPr>
        <w:pStyle w:val="Normal"/>
        <w:spacing w:lineRule="auto" w:line="360" w:before="0" w:after="160"/>
        <w:jc w:val="both"/>
        <w:rPr/>
      </w:pPr>
      <w:r>
        <w:rPr>
          <w:rFonts w:eastAsia="Times New Roman" w:cs="Times New Roman"/>
          <w:sz w:val="24"/>
          <w:szCs w:val="24"/>
        </w:rPr>
        <w:t>Especificación del modelo:</w:t>
      </w:r>
    </w:p>
    <w:p>
      <w:pPr>
        <w:pStyle w:val="Normal"/>
        <w:spacing w:before="120" w:after="180"/>
        <w:ind w:start="720"/>
        <w:rPr/>
      </w:pPr>
      <w:r>
        <w:rPr>
          <w:rFonts w:eastAsia="Courier New" w:cs="Courier New" w:ascii="Courier New" w:hAnsi="Courier New"/>
          <w:sz w:val="22"/>
          <w:szCs w:val="22"/>
        </w:rPr>
        <w:t>logit[Pr(mortalidad)] = β₀ + β₁·proc + β₂·edad + β₃·sev + β₄·peso + β₅·comorb + γ·C(hospital)</w:t>
      </w:r>
    </w:p>
    <w:p>
      <w:pPr>
        <w:pStyle w:val="Normal"/>
        <w:spacing w:before="120" w:after="60"/>
        <w:jc w:val="start"/>
        <w:rPr/>
      </w:pPr>
      <w:r>
        <w:rPr>
          <w:rFonts w:eastAsia="Times New Roman" w:cs="Times New Roman"/>
          <w:b/>
          <w:bCs/>
          <w:sz w:val="20"/>
          <w:szCs w:val="20"/>
        </w:rPr>
        <w:t>Tabla 5. Odds ratios — Regresión logística multivariable para mortalidad intrahospitalaria (H₂).</w:t>
      </w:r>
    </w:p>
    <w:tbl>
      <w:tblPr>
        <w:tblW w:w="9070" w:type="dxa"/>
        <w:jc w:val="start"/>
        <w:tblInd w:w="0" w:type="dxa"/>
        <w:tblLayout w:type="fixed"/>
        <w:tblCellMar>
          <w:top w:w="60" w:type="dxa"/>
          <w:start w:w="100" w:type="dxa"/>
          <w:bottom w:w="60" w:type="dxa"/>
          <w:end w:w="100" w:type="dxa"/>
        </w:tblCellMar>
      </w:tblPr>
      <w:tblGrid>
        <w:gridCol w:w="3809"/>
        <w:gridCol w:w="1359"/>
        <w:gridCol w:w="1997"/>
        <w:gridCol w:w="1905"/>
      </w:tblGrid>
      <w:tr>
        <w:trPr/>
        <w:tc>
          <w:tcPr>
            <w:tcW w:w="3809"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Predictor</w:t>
            </w:r>
          </w:p>
        </w:tc>
        <w:tc>
          <w:tcPr>
            <w:tcW w:w="1359"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OR</w:t>
            </w:r>
          </w:p>
        </w:tc>
        <w:tc>
          <w:tcPr>
            <w:tcW w:w="1997"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IC 95%</w:t>
            </w:r>
          </w:p>
        </w:tc>
        <w:tc>
          <w:tcPr>
            <w:tcW w:w="1905"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p-valor</w:t>
            </w:r>
          </w:p>
        </w:tc>
      </w:tr>
      <w:tr>
        <w:trPr/>
        <w:tc>
          <w:tcPr>
            <w:tcW w:w="380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Procedimientos (por unidad)</w:t>
            </w:r>
          </w:p>
        </w:tc>
        <w:tc>
          <w:tcPr>
            <w:tcW w:w="135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1.05</w:t>
            </w:r>
          </w:p>
        </w:tc>
        <w:tc>
          <w:tcPr>
            <w:tcW w:w="199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1.02–1.08</w:t>
            </w:r>
          </w:p>
        </w:tc>
        <w:tc>
          <w:tcPr>
            <w:tcW w:w="190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&lt;0.001</w:t>
            </w:r>
          </w:p>
        </w:tc>
      </w:tr>
      <w:tr>
        <w:trPr/>
        <w:tc>
          <w:tcPr>
            <w:tcW w:w="380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Edad (por año)</w:t>
            </w:r>
          </w:p>
        </w:tc>
        <w:tc>
          <w:tcPr>
            <w:tcW w:w="135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1.01</w:t>
            </w:r>
          </w:p>
        </w:tc>
        <w:tc>
          <w:tcPr>
            <w:tcW w:w="199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0.99–1.02</w:t>
            </w:r>
          </w:p>
        </w:tc>
        <w:tc>
          <w:tcPr>
            <w:tcW w:w="190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0.341</w:t>
            </w:r>
          </w:p>
        </w:tc>
      </w:tr>
      <w:tr>
        <w:trPr/>
        <w:tc>
          <w:tcPr>
            <w:tcW w:w="380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Severidad GRD (por nivel)</w:t>
            </w:r>
          </w:p>
        </w:tc>
        <w:tc>
          <w:tcPr>
            <w:tcW w:w="135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6.12</w:t>
            </w:r>
          </w:p>
        </w:tc>
        <w:tc>
          <w:tcPr>
            <w:tcW w:w="199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5.42–6.91</w:t>
            </w:r>
          </w:p>
        </w:tc>
        <w:tc>
          <w:tcPr>
            <w:tcW w:w="190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&lt;0.001</w:t>
            </w:r>
          </w:p>
        </w:tc>
      </w:tr>
      <w:tr>
        <w:trPr/>
        <w:tc>
          <w:tcPr>
            <w:tcW w:w="380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Peso GRD (por unidad)</w:t>
            </w:r>
          </w:p>
        </w:tc>
        <w:tc>
          <w:tcPr>
            <w:tcW w:w="135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0.88</w:t>
            </w:r>
          </w:p>
        </w:tc>
        <w:tc>
          <w:tcPr>
            <w:tcW w:w="199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0.82–0.95</w:t>
            </w:r>
          </w:p>
        </w:tc>
        <w:tc>
          <w:tcPr>
            <w:tcW w:w="190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0.001</w:t>
            </w:r>
          </w:p>
        </w:tc>
      </w:tr>
      <w:tr>
        <w:trPr/>
        <w:tc>
          <w:tcPr>
            <w:tcW w:w="380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Comorbilidad (por conteo)</w:t>
            </w:r>
          </w:p>
        </w:tc>
        <w:tc>
          <w:tcPr>
            <w:tcW w:w="135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1.06</w:t>
            </w:r>
          </w:p>
        </w:tc>
        <w:tc>
          <w:tcPr>
            <w:tcW w:w="199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1.01–1.11</w:t>
            </w:r>
          </w:p>
        </w:tc>
        <w:tc>
          <w:tcPr>
            <w:tcW w:w="190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0.018</w:t>
            </w:r>
          </w:p>
        </w:tc>
      </w:tr>
      <w:tr>
        <w:trPr/>
        <w:tc>
          <w:tcPr>
            <w:tcW w:w="380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Hospital (efectos fijos)</w:t>
            </w:r>
          </w:p>
        </w:tc>
        <w:tc>
          <w:tcPr>
            <w:tcW w:w="135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c>
          <w:tcPr>
            <w:tcW w:w="199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c>
          <w:tcPr>
            <w:tcW w:w="190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&lt;0.001</w:t>
            </w:r>
          </w:p>
        </w:tc>
      </w:tr>
      <w:tr>
        <w:trPr/>
        <w:tc>
          <w:tcPr>
            <w:tcW w:w="380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Pseudo-R² (McFadden)</w:t>
            </w:r>
          </w:p>
        </w:tc>
        <w:tc>
          <w:tcPr>
            <w:tcW w:w="135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0.182</w:t>
            </w:r>
          </w:p>
        </w:tc>
        <w:tc>
          <w:tcPr>
            <w:tcW w:w="199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p>
        </w:tc>
        <w:tc>
          <w:tcPr>
            <w:tcW w:w="190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p>
        </w:tc>
      </w:tr>
      <w:tr>
        <w:trPr/>
        <w:tc>
          <w:tcPr>
            <w:tcW w:w="380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AUC-ROC</w:t>
            </w:r>
          </w:p>
        </w:tc>
        <w:tc>
          <w:tcPr>
            <w:tcW w:w="1359"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0.823</w:t>
            </w:r>
          </w:p>
        </w:tc>
        <w:tc>
          <w:tcPr>
            <w:tcW w:w="199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c>
          <w:tcPr>
            <w:tcW w:w="190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r>
    </w:tbl>
    <w:p>
      <w:pPr>
        <w:pStyle w:val="Normal"/>
        <w:spacing w:lineRule="auto" w:line="360" w:before="0" w:after="160"/>
        <w:jc w:val="both"/>
        <w:rPr/>
      </w:pPr>
      <w:r>
        <w:rPr/>
      </w:r>
    </w:p>
    <w:p>
      <w:pPr>
        <w:pStyle w:val="Normal"/>
        <w:spacing w:lineRule="auto" w:line="360" w:before="0" w:after="160"/>
        <w:jc w:val="both"/>
        <w:rPr/>
      </w:pPr>
      <w:r>
        <w:rPr>
          <w:rFonts w:eastAsia="Times New Roman" w:cs="Times New Roman"/>
          <w:sz w:val="24"/>
          <w:szCs w:val="24"/>
        </w:rPr>
        <w:t>Cada procedimiento adicional incrementa las odds de mortalidad en 5% (OR=1.05, p&lt;0.001). Sin embargo, el predictor dominante es la severidad GRD (OR=6.12): los pacientes más graves reciben más procedimientos, generando confusión por indicación. La edad no es predictor independiente significativo una vez controlada la severidad. El efecto protector del peso GRD (OR=0.88) refleja que los procedimientos complejos pero electivos (mayor peso GRD) tienen mejores resultados que los procedimientos de urgencia. El AUC-ROC de 0.823 indica una discriminación adecuada del modelo.</w:t>
      </w:r>
      <w:r>
        <w:rPr>
          <w:i/>
          <w:sz w:val="20"/>
        </w:rPr>
        <w:t xml:space="preserve"> (véase Figuras A8 y A9 en Anexo para la curva ROC y el forest plot</w:t>
      </w:r>
      <w:r>
        <w:rPr>
          <w:i/>
          <w:sz w:val="20"/>
        </w:rPr>
        <w:t>de odds ratios).</w:t>
      </w:r>
    </w:p>
    <w:p>
      <w:pPr>
        <w:pStyle w:val="Normal"/>
        <w:spacing w:lineRule="auto" w:line="360" w:before="0" w:after="160"/>
        <w:jc w:val="both"/>
        <w:rPr>
          <w:i/>
          <w:sz w:val="20"/>
        </w:rPr>
      </w:pPr>
      <w:r>
        <w:rPr>
          <w:i/>
          <w:sz w:val="20"/>
        </w:rPr>
      </w:r>
    </w:p>
    <w:p>
      <w:pPr>
        <w:pStyle w:val="Normal"/>
        <w:spacing w:lineRule="auto" w:line="360" w:before="0" w:after="160"/>
        <w:jc w:val="both"/>
        <w:rPr>
          <w:rFonts w:eastAsia="Times New Roman" w:cs="Times New Roman"/>
          <w:b/>
          <w:bCs/>
          <w:color w:val="2E4DAA"/>
          <w:sz w:val="24"/>
          <w:szCs w:val="24"/>
        </w:rPr>
      </w:pPr>
      <w:r>
        <w:rPr>
          <w:rFonts w:eastAsia="Times New Roman" w:cs="Times New Roman"/>
          <w:b/>
          <w:bCs/>
          <w:color w:val="2E4DAA"/>
          <w:sz w:val="24"/>
          <w:szCs w:val="24"/>
        </w:rPr>
      </w:r>
    </w:p>
    <w:p>
      <w:pPr>
        <w:pStyle w:val="Heading2"/>
        <w:spacing w:before="240" w:after="120"/>
        <w:rPr>
          <w:rFonts w:eastAsia="Times New Roman" w:cs="Times New Roman"/>
          <w:b/>
          <w:bCs/>
          <w:color w:val="2E4DAA"/>
          <w:sz w:val="24"/>
          <w:szCs w:val="24"/>
        </w:rPr>
      </w:pPr>
      <w:r>
        <w:rPr>
          <w:rFonts w:eastAsia="Times New Roman" w:cs="Times New Roman"/>
          <w:b/>
          <w:bCs/>
          <w:color w:val="2E4DAA"/>
          <w:sz w:val="24"/>
          <w:szCs w:val="24"/>
        </w:rPr>
        <w:t>6.4 Hipótesis 3 — Regresión OLS con errores HC3 (días de estadía)</w:t>
      </w:r>
    </w:p>
    <w:p>
      <w:pPr>
        <w:pStyle w:val="Normal"/>
        <w:spacing w:lineRule="auto" w:line="360" w:before="0" w:after="160"/>
        <w:jc w:val="both"/>
        <w:rPr/>
      </w:pPr>
      <w:r>
        <w:rPr>
          <w:rFonts w:eastAsia="Times New Roman" w:cs="Times New Roman"/>
          <w:sz w:val="24"/>
          <w:szCs w:val="24"/>
        </w:rPr>
        <w:t>Especificación del modelo:</w:t>
      </w:r>
    </w:p>
    <w:p>
      <w:pPr>
        <w:pStyle w:val="Normal"/>
        <w:spacing w:before="120" w:after="180"/>
        <w:ind w:start="720"/>
        <w:rPr/>
      </w:pPr>
      <w:r>
        <w:rPr>
          <w:rFonts w:eastAsia="Courier New" w:cs="Courier New" w:ascii="Courier New" w:hAnsi="Courier New"/>
          <w:sz w:val="22"/>
          <w:szCs w:val="22"/>
        </w:rPr>
        <w:t>log(1+dias_estada) = β₀ + β₁·proc + β₂·edad + β₃·sev + β₄·peso + β₅·comorb + γ·C(hospital) + ε</w:t>
      </w:r>
    </w:p>
    <w:p>
      <w:pPr>
        <w:pStyle w:val="Normal"/>
        <w:spacing w:before="120" w:after="60"/>
        <w:jc w:val="start"/>
        <w:rPr/>
      </w:pPr>
      <w:r>
        <w:rPr>
          <w:rFonts w:eastAsia="Times New Roman" w:cs="Times New Roman"/>
          <w:b/>
          <w:bCs/>
          <w:sz w:val="20"/>
          <w:szCs w:val="20"/>
        </w:rPr>
        <w:t>Tabla 6. Coeficientes OLS para log(1+días de estadía). Errores estándar robustos HC3. Δ% = (exp(β)−1)×100.</w:t>
      </w:r>
    </w:p>
    <w:tbl>
      <w:tblPr>
        <w:tblW w:w="9070" w:type="dxa"/>
        <w:jc w:val="start"/>
        <w:tblInd w:w="0" w:type="dxa"/>
        <w:tblLayout w:type="fixed"/>
        <w:tblCellMar>
          <w:top w:w="60" w:type="dxa"/>
          <w:start w:w="100" w:type="dxa"/>
          <w:bottom w:w="60" w:type="dxa"/>
          <w:end w:w="100" w:type="dxa"/>
        </w:tblCellMar>
      </w:tblPr>
      <w:tblGrid>
        <w:gridCol w:w="3444"/>
        <w:gridCol w:w="1091"/>
        <w:gridCol w:w="907"/>
        <w:gridCol w:w="1995"/>
        <w:gridCol w:w="1633"/>
      </w:tblGrid>
      <w:tr>
        <w:trPr/>
        <w:tc>
          <w:tcPr>
            <w:tcW w:w="3444"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Predictor</w:t>
            </w:r>
          </w:p>
        </w:tc>
        <w:tc>
          <w:tcPr>
            <w:tcW w:w="1091"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β</w:t>
            </w:r>
          </w:p>
        </w:tc>
        <w:tc>
          <w:tcPr>
            <w:tcW w:w="907"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SE</w:t>
            </w:r>
          </w:p>
        </w:tc>
        <w:tc>
          <w:tcPr>
            <w:tcW w:w="1995"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IC 95%</w:t>
            </w:r>
          </w:p>
        </w:tc>
        <w:tc>
          <w:tcPr>
            <w:tcW w:w="1633"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Δ%</w:t>
            </w:r>
          </w:p>
        </w:tc>
      </w:tr>
      <w:tr>
        <w:trPr/>
        <w:tc>
          <w:tcPr>
            <w:tcW w:w="344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Procedimientos (por unidad)</w:t>
            </w:r>
          </w:p>
        </w:tc>
        <w:tc>
          <w:tcPr>
            <w:tcW w:w="109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0.093</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0.004</w:t>
            </w:r>
          </w:p>
        </w:tc>
        <w:tc>
          <w:tcPr>
            <w:tcW w:w="199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0.085–0.101</w:t>
            </w:r>
          </w:p>
        </w:tc>
        <w:tc>
          <w:tcPr>
            <w:tcW w:w="1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+9.7</w:t>
            </w:r>
          </w:p>
        </w:tc>
      </w:tr>
      <w:tr>
        <w:trPr/>
        <w:tc>
          <w:tcPr>
            <w:tcW w:w="344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Edad (por año)</w:t>
            </w:r>
          </w:p>
        </w:tc>
        <w:tc>
          <w:tcPr>
            <w:tcW w:w="109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0.002</w:t>
            </w:r>
          </w:p>
        </w:tc>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0.001</w:t>
            </w:r>
          </w:p>
        </w:tc>
        <w:tc>
          <w:tcPr>
            <w:tcW w:w="199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0.001–0.004</w:t>
            </w:r>
          </w:p>
        </w:tc>
        <w:tc>
          <w:tcPr>
            <w:tcW w:w="163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+0.2</w:t>
            </w:r>
          </w:p>
        </w:tc>
      </w:tr>
      <w:tr>
        <w:trPr/>
        <w:tc>
          <w:tcPr>
            <w:tcW w:w="344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Severidad GRD (por nivel)</w:t>
            </w:r>
          </w:p>
        </w:tc>
        <w:tc>
          <w:tcPr>
            <w:tcW w:w="109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0.241</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0.011</w:t>
            </w:r>
          </w:p>
        </w:tc>
        <w:tc>
          <w:tcPr>
            <w:tcW w:w="199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0.220–0.263</w:t>
            </w:r>
          </w:p>
        </w:tc>
        <w:tc>
          <w:tcPr>
            <w:tcW w:w="1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+27.3</w:t>
            </w:r>
          </w:p>
        </w:tc>
      </w:tr>
      <w:tr>
        <w:trPr/>
        <w:tc>
          <w:tcPr>
            <w:tcW w:w="344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Peso GRD (por unidad)</w:t>
            </w:r>
          </w:p>
        </w:tc>
        <w:tc>
          <w:tcPr>
            <w:tcW w:w="109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0.078</w:t>
            </w:r>
          </w:p>
        </w:tc>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0.008</w:t>
            </w:r>
          </w:p>
        </w:tc>
        <w:tc>
          <w:tcPr>
            <w:tcW w:w="199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0.062–0.094</w:t>
            </w:r>
          </w:p>
        </w:tc>
        <w:tc>
          <w:tcPr>
            <w:tcW w:w="163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+8.1</w:t>
            </w:r>
          </w:p>
        </w:tc>
      </w:tr>
      <w:tr>
        <w:trPr/>
        <w:tc>
          <w:tcPr>
            <w:tcW w:w="344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Comorbilidad (por conteo)</w:t>
            </w:r>
          </w:p>
        </w:tc>
        <w:tc>
          <w:tcPr>
            <w:tcW w:w="109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0.031</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0.006</w:t>
            </w:r>
          </w:p>
        </w:tc>
        <w:tc>
          <w:tcPr>
            <w:tcW w:w="199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0.020–0.043</w:t>
            </w:r>
          </w:p>
        </w:tc>
        <w:tc>
          <w:tcPr>
            <w:tcW w:w="1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+3.2</w:t>
            </w:r>
          </w:p>
        </w:tc>
      </w:tr>
      <w:tr>
        <w:trPr/>
        <w:tc>
          <w:tcPr>
            <w:tcW w:w="344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R² / R² ajustado</w:t>
            </w:r>
          </w:p>
        </w:tc>
        <w:tc>
          <w:tcPr>
            <w:tcW w:w="109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0.636 / 0.635</w:t>
            </w:r>
          </w:p>
        </w:tc>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c>
          <w:tcPr>
            <w:tcW w:w="199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c>
          <w:tcPr>
            <w:tcW w:w="163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r>
      <w:tr>
        <w:trPr/>
        <w:tc>
          <w:tcPr>
            <w:tcW w:w="344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F(19, 9835)</w:t>
            </w:r>
          </w:p>
        </w:tc>
        <w:tc>
          <w:tcPr>
            <w:tcW w:w="109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978.1</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p>
        </w:tc>
        <w:tc>
          <w:tcPr>
            <w:tcW w:w="1995"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p&lt;0.001</w:t>
            </w:r>
          </w:p>
        </w:tc>
        <w:tc>
          <w:tcPr>
            <w:tcW w:w="16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w:t>
            </w:r>
          </w:p>
        </w:tc>
      </w:tr>
      <w:tr>
        <w:trPr/>
        <w:tc>
          <w:tcPr>
            <w:tcW w:w="344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MAE / RMSE (test)</w:t>
            </w:r>
          </w:p>
        </w:tc>
        <w:tc>
          <w:tcPr>
            <w:tcW w:w="109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3.47 días</w:t>
            </w:r>
          </w:p>
        </w:tc>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c>
          <w:tcPr>
            <w:tcW w:w="1995"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5.61 días</w:t>
            </w:r>
          </w:p>
        </w:tc>
        <w:tc>
          <w:tcPr>
            <w:tcW w:w="1633"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w:t>
            </w:r>
          </w:p>
        </w:tc>
      </w:tr>
    </w:tbl>
    <w:p>
      <w:pPr>
        <w:pStyle w:val="Normal"/>
        <w:spacing w:lineRule="auto" w:line="360" w:before="0" w:after="160"/>
        <w:jc w:val="both"/>
        <w:rPr/>
      </w:pPr>
      <w:r>
        <w:rPr/>
      </w:r>
    </w:p>
    <w:p>
      <w:pPr>
        <w:pStyle w:val="Normal"/>
        <w:spacing w:lineRule="auto" w:line="360" w:before="0" w:after="160"/>
        <w:jc w:val="both"/>
        <w:rPr/>
      </w:pPr>
      <w:r>
        <w:rPr>
          <w:rFonts w:eastAsia="Times New Roman" w:cs="Times New Roman"/>
          <w:sz w:val="24"/>
          <w:szCs w:val="24"/>
        </w:rPr>
        <w:t>El modelo explica el 63.6% de la varianza en días de estadía. Cada procedimiento adicional se asocia con un aumento del 9.7% en la estadía (β=0.093, p&lt;0.001), controlando por todas las variables clínicas e institucionales. La severidad GRD tiene el mayor efecto marginal (+27.3% por nivel). Los efectos fijos por hospital son colectivamente significativos (F=14.8, p&lt;0.001), confirmando que el establecimiento tiene un efecto propio sobre la estadía, más allá del perfil clínico del paciente.</w:t>
      </w:r>
      <w:r>
        <w:rPr>
          <w:i/>
          <w:sz w:val="20"/>
        </w:rPr>
        <w:t xml:space="preserve"> (véase Figuras A10 y A11 en Anexo para los diagnósticos de residuos del modelo OLS).</w:t>
      </w:r>
    </w:p>
    <w:p>
      <w:pPr>
        <w:pStyle w:val="Heading1"/>
        <w:pBdr>
          <w:bottom w:val="single" w:sz="6" w:space="0" w:color="1F497D"/>
        </w:pBdr>
        <w:spacing w:before="360" w:after="180"/>
        <w:rPr/>
      </w:pPr>
      <w:r>
        <w:rPr>
          <w:rFonts w:eastAsia="Times New Roman" w:cs="Times New Roman"/>
          <w:b/>
          <w:bCs/>
          <w:color w:val="1F497D"/>
          <w:sz w:val="28"/>
          <w:szCs w:val="28"/>
        </w:rPr>
        <w:t>7. Análisis Avanzados</w:t>
      </w:r>
    </w:p>
    <w:p>
      <w:pPr>
        <w:pStyle w:val="Heading2"/>
        <w:spacing w:before="240" w:after="120"/>
        <w:rPr/>
      </w:pPr>
      <w:r>
        <w:rPr>
          <w:rFonts w:eastAsia="Times New Roman" w:cs="Times New Roman"/>
          <w:b/>
          <w:bCs/>
          <w:color w:val="2E4DAA"/>
          <w:sz w:val="24"/>
          <w:szCs w:val="24"/>
        </w:rPr>
        <w:t>7.1 Modelo Multinivel — ICC</w:t>
        <w:tab/>
      </w:r>
    </w:p>
    <w:p>
      <w:pPr>
        <w:pStyle w:val="Normal"/>
        <w:spacing w:lineRule="auto" w:line="360" w:before="0" w:after="160"/>
        <w:jc w:val="both"/>
        <w:rPr/>
      </w:pPr>
      <w:r>
        <w:rPr>
          <w:rFonts w:eastAsia="Times New Roman" w:cs="Times New Roman"/>
          <w:sz w:val="24"/>
          <w:szCs w:val="24"/>
        </w:rPr>
        <w:t>Se ajustó un modelo lineal mixto con intercepto aleatorio por hospital (statsmodels MixedLM, REML). Las componentes de varianza estimadas fueron: σ²_hospital = 0.041 (varianza entre hospitales) y σ²_residual = 0.183 (varianza dentro de hospitales).</w:t>
      </w:r>
    </w:p>
    <w:p>
      <w:pPr>
        <w:pStyle w:val="Normal"/>
        <w:spacing w:before="120" w:after="180"/>
        <w:ind w:start="720"/>
        <w:rPr/>
      </w:pPr>
      <w:r>
        <w:rPr>
          <w:rFonts w:eastAsia="Courier New" w:cs="Courier New" w:ascii="Courier New" w:hAnsi="Courier New"/>
          <w:b/>
          <w:bCs/>
          <w:sz w:val="24"/>
          <w:szCs w:val="24"/>
        </w:rPr>
        <w:t>ICC = 0.041 / (0.041 + 0.183) = 0.184  →  18.4%</w:t>
      </w:r>
    </w:p>
    <w:p>
      <w:pPr>
        <w:pStyle w:val="Normal"/>
        <w:spacing w:lineRule="auto" w:line="360" w:before="0" w:after="160"/>
        <w:jc w:val="both"/>
        <w:rPr/>
      </w:pPr>
      <w:r>
        <w:rPr>
          <w:rFonts w:eastAsia="Times New Roman" w:cs="Times New Roman"/>
          <w:sz w:val="24"/>
          <w:szCs w:val="24"/>
        </w:rPr>
        <w:t>El 18.4% de la varianza total en log(días de estadía) es atribuible al hospital de atención, no al perfil clínico del paciente. Los efectos fijos del modelo multinivel son consistentes con los del OLS con efectos fijos (diferencia &lt;5% en todos los predictores continuos), validando la robustez de ambas especificaciones.</w:t>
      </w:r>
      <w:r>
        <w:rPr>
          <w:i/>
          <w:sz w:val="20"/>
        </w:rPr>
        <w:t xml:space="preserve"> (véase Figura A12 en Anexo para el forest plot de interceptos aleatorios por hospital).</w:t>
      </w:r>
    </w:p>
    <w:p>
      <w:pPr>
        <w:pStyle w:val="Heading2"/>
        <w:spacing w:before="240" w:after="120"/>
        <w:rPr/>
      </w:pPr>
      <w:r>
        <w:rPr>
          <w:rFonts w:eastAsia="Times New Roman" w:cs="Times New Roman"/>
          <w:b/>
          <w:bCs/>
          <w:color w:val="2E4DAA"/>
          <w:sz w:val="24"/>
          <w:szCs w:val="24"/>
        </w:rPr>
        <w:t>7.2 Gradiente Socioeconómico — Análisis IDH Comunal</w:t>
      </w:r>
    </w:p>
    <w:p>
      <w:pPr>
        <w:pStyle w:val="Normal"/>
        <w:spacing w:lineRule="auto" w:line="360" w:before="0" w:after="160"/>
        <w:jc w:val="both"/>
        <w:rPr/>
      </w:pPr>
      <w:r>
        <w:rPr>
          <w:rFonts w:eastAsia="Times New Roman" w:cs="Times New Roman"/>
          <w:sz w:val="24"/>
          <w:szCs w:val="24"/>
        </w:rPr>
        <w:t>El cruce con el IDH municipal 2024 fue exitoso para el 87.3% de los egresos C16.*. Los resultados revelan:</w:t>
      </w:r>
    </w:p>
    <w:p>
      <w:pPr>
        <w:pStyle w:val="ListParagraph"/>
        <w:numPr>
          <w:ilvl w:val="0"/>
          <w:numId w:val="2"/>
        </w:numPr>
        <w:spacing w:lineRule="auto" w:line="360" w:before="60" w:after="60"/>
        <w:rPr/>
      </w:pPr>
      <w:r>
        <w:rPr>
          <w:rFonts w:eastAsia="Times New Roman" w:cs="Times New Roman"/>
          <w:sz w:val="24"/>
          <w:szCs w:val="24"/>
        </w:rPr>
        <w:t>Kruskal-Wallis para días de estadía × quintil IDH: H(4)=28.7, p&lt;0.001.</w:t>
      </w:r>
    </w:p>
    <w:p>
      <w:pPr>
        <w:pStyle w:val="ListParagraph"/>
        <w:numPr>
          <w:ilvl w:val="0"/>
          <w:numId w:val="2"/>
        </w:numPr>
        <w:spacing w:lineRule="auto" w:line="360" w:before="60" w:after="60"/>
        <w:rPr/>
      </w:pPr>
      <w:r>
        <w:rPr>
          <w:rFonts w:eastAsia="Times New Roman" w:cs="Times New Roman"/>
          <w:sz w:val="24"/>
          <w:szCs w:val="24"/>
        </w:rPr>
        <w:t>Chi-cuadrado para mortalidad × quintil IDH: χ²(4)=14.2, p=0.003.</w:t>
      </w:r>
    </w:p>
    <w:p>
      <w:pPr>
        <w:pStyle w:val="ListParagraph"/>
        <w:numPr>
          <w:ilvl w:val="0"/>
          <w:numId w:val="2"/>
        </w:numPr>
        <w:spacing w:lineRule="auto" w:line="360" w:before="60" w:after="60"/>
        <w:rPr/>
      </w:pPr>
      <w:r>
        <w:rPr>
          <w:rFonts w:eastAsia="Times New Roman" w:cs="Times New Roman"/>
          <w:sz w:val="24"/>
          <w:szCs w:val="24"/>
        </w:rPr>
        <w:t>Gradiente de mortalidad: Q1=5.2%, Q2=4.7%, Q3=4.1%, Q4=3.9%, Q5=2.4%. Diferencia Q1–Q5: 2.8 pp (117% en términos relativos).</w:t>
      </w:r>
    </w:p>
    <w:p>
      <w:pPr>
        <w:pStyle w:val="ListParagraph"/>
        <w:numPr>
          <w:ilvl w:val="0"/>
          <w:numId w:val="2"/>
        </w:numPr>
        <w:spacing w:lineRule="auto" w:line="360" w:before="60" w:after="60"/>
        <w:rPr/>
      </w:pPr>
      <w:r>
        <w:rPr>
          <w:rFonts w:eastAsia="Times New Roman" w:cs="Times New Roman"/>
          <w:sz w:val="24"/>
          <w:szCs w:val="24"/>
        </w:rPr>
        <w:t>Pacientes de comunas Q1: estadías más largas (mediana 8 vs. 6 días en Q5) e ingresos de urgencia sistematicamente superiores (50.3% vs. 35.6%).</w:t>
      </w:r>
      <w:r>
        <w:rPr>
          <w:i/>
          <w:sz w:val="20"/>
        </w:rPr>
        <w:t xml:space="preserve"> (véase Figuras A13 y A14 en Anexo para los boxplots de estadía y mortalidad por quintil IDH).</w:t>
      </w:r>
    </w:p>
    <w:p>
      <w:pPr>
        <w:pStyle w:val="Heading2"/>
        <w:spacing w:before="240" w:after="120"/>
        <w:rPr/>
      </w:pPr>
      <w:r>
        <w:rPr>
          <w:rFonts w:eastAsia="Times New Roman" w:cs="Times New Roman"/>
          <w:b/>
          <w:bCs/>
          <w:color w:val="2E4DAA"/>
          <w:sz w:val="24"/>
          <w:szCs w:val="24"/>
        </w:rPr>
        <w:t>7.3 Clustering K-means — Tipologías Hospitalarias</w:t>
      </w:r>
    </w:p>
    <w:p>
      <w:pPr>
        <w:pStyle w:val="Normal"/>
        <w:spacing w:lineRule="auto" w:line="360" w:before="0" w:after="160"/>
        <w:jc w:val="both"/>
        <w:rPr/>
      </w:pPr>
      <w:r>
        <w:rPr>
          <w:rFonts w:eastAsia="Times New Roman" w:cs="Times New Roman"/>
          <w:sz w:val="24"/>
          <w:szCs w:val="24"/>
        </w:rPr>
        <w:t>K-means con k=3 (silhouette=0.43, seleccionado por criterio del codo + coeficiente de silueta) identificó tres tipologías hospitalarias claramente diferenciadas:</w:t>
      </w:r>
    </w:p>
    <w:p>
      <w:pPr>
        <w:pStyle w:val="Normal"/>
        <w:spacing w:before="120" w:after="60"/>
        <w:jc w:val="start"/>
        <w:rPr/>
      </w:pPr>
      <w:r>
        <w:rPr>
          <w:rFonts w:eastAsia="Times New Roman" w:cs="Times New Roman"/>
          <w:b/>
          <w:bCs/>
          <w:sz w:val="20"/>
          <w:szCs w:val="20"/>
        </w:rPr>
        <w:t>Tabla 7. Centroides K-means en escala original (k=3, silhouette=0.43).</w:t>
      </w:r>
    </w:p>
    <w:tbl>
      <w:tblPr>
        <w:tblW w:w="9070" w:type="dxa"/>
        <w:jc w:val="start"/>
        <w:tblInd w:w="0" w:type="dxa"/>
        <w:tblLayout w:type="fixed"/>
        <w:tblCellMar>
          <w:top w:w="60" w:type="dxa"/>
          <w:start w:w="100" w:type="dxa"/>
          <w:bottom w:w="60" w:type="dxa"/>
          <w:end w:w="100" w:type="dxa"/>
        </w:tblCellMar>
      </w:tblPr>
      <w:tblGrid>
        <w:gridCol w:w="3444"/>
        <w:gridCol w:w="1091"/>
        <w:gridCol w:w="1814"/>
        <w:gridCol w:w="1814"/>
        <w:gridCol w:w="907"/>
      </w:tblGrid>
      <w:tr>
        <w:trPr/>
        <w:tc>
          <w:tcPr>
            <w:tcW w:w="3444"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Cluster</w:t>
            </w:r>
          </w:p>
        </w:tc>
        <w:tc>
          <w:tcPr>
            <w:tcW w:w="1091"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n hosp.</w:t>
            </w:r>
          </w:p>
        </w:tc>
        <w:tc>
          <w:tcPr>
            <w:tcW w:w="1814"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Mortalidad (%)</w:t>
            </w:r>
          </w:p>
        </w:tc>
        <w:tc>
          <w:tcPr>
            <w:tcW w:w="1814"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Estadía media (días)</w:t>
            </w:r>
          </w:p>
        </w:tc>
        <w:tc>
          <w:tcPr>
            <w:tcW w:w="907" w:type="dxa"/>
            <w:tcBorders>
              <w:top w:val="single" w:sz="4" w:space="0" w:color="AAAAAA"/>
              <w:start w:val="single" w:sz="4" w:space="0" w:color="AAAAAA"/>
              <w:bottom w:val="single" w:sz="4" w:space="0" w:color="AAAAAA"/>
              <w:end w:val="single" w:sz="4" w:space="0" w:color="AAAAAA"/>
            </w:tcBorders>
            <w:shd w:fill="1F497D" w:val="clear"/>
            <w:vAlign w:val="center"/>
          </w:tcPr>
          <w:p>
            <w:pPr>
              <w:pStyle w:val="Normal"/>
              <w:rPr/>
            </w:pPr>
            <w:r>
              <w:rPr>
                <w:rFonts w:eastAsia="Times New Roman" w:cs="Times New Roman"/>
                <w:b/>
                <w:bCs/>
                <w:color w:val="FFFFFF"/>
                <w:sz w:val="18"/>
                <w:szCs w:val="18"/>
              </w:rPr>
              <w:t>% Urgencia</w:t>
            </w:r>
          </w:p>
        </w:tc>
      </w:tr>
      <w:tr>
        <w:trPr/>
        <w:tc>
          <w:tcPr>
            <w:tcW w:w="344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0 — Alta complejidad / urgente</w:t>
            </w:r>
          </w:p>
        </w:tc>
        <w:tc>
          <w:tcPr>
            <w:tcW w:w="109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4</w:t>
            </w:r>
          </w:p>
        </w:tc>
        <w:tc>
          <w:tcPr>
            <w:tcW w:w="181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6.1</w:t>
            </w:r>
          </w:p>
        </w:tc>
        <w:tc>
          <w:tcPr>
            <w:tcW w:w="181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9.3</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54</w:t>
            </w:r>
          </w:p>
        </w:tc>
      </w:tr>
      <w:tr>
        <w:trPr/>
        <w:tc>
          <w:tcPr>
            <w:tcW w:w="344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1 — Quirúrgico / especializado</w:t>
            </w:r>
          </w:p>
        </w:tc>
        <w:tc>
          <w:tcPr>
            <w:tcW w:w="1091"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6</w:t>
            </w:r>
          </w:p>
        </w:tc>
        <w:tc>
          <w:tcPr>
            <w:tcW w:w="181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3.8</w:t>
            </w:r>
          </w:p>
        </w:tc>
        <w:tc>
          <w:tcPr>
            <w:tcW w:w="1814"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8.6</w:t>
            </w:r>
          </w:p>
        </w:tc>
        <w:tc>
          <w:tcPr>
            <w:tcW w:w="907" w:type="dxa"/>
            <w:tcBorders>
              <w:top w:val="single" w:sz="4" w:space="0" w:color="AAAAAA"/>
              <w:start w:val="single" w:sz="4" w:space="0" w:color="AAAAAA"/>
              <w:bottom w:val="single" w:sz="4" w:space="0" w:color="AAAAAA"/>
              <w:end w:val="single" w:sz="4" w:space="0" w:color="AAAAAA"/>
            </w:tcBorders>
            <w:shd w:fill="EEF3FA" w:val="clear"/>
          </w:tcPr>
          <w:p>
            <w:pPr>
              <w:pStyle w:val="Normal"/>
              <w:rPr/>
            </w:pPr>
            <w:r>
              <w:rPr>
                <w:rFonts w:eastAsia="Times New Roman" w:cs="Times New Roman"/>
                <w:sz w:val="18"/>
                <w:szCs w:val="18"/>
              </w:rPr>
              <w:t>38</w:t>
            </w:r>
          </w:p>
        </w:tc>
      </w:tr>
      <w:tr>
        <w:trPr/>
        <w:tc>
          <w:tcPr>
            <w:tcW w:w="344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2 — General / baja complejidad</w:t>
            </w:r>
          </w:p>
        </w:tc>
        <w:tc>
          <w:tcPr>
            <w:tcW w:w="109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w:t>
            </w:r>
          </w:p>
        </w:tc>
        <w:tc>
          <w:tcPr>
            <w:tcW w:w="181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2.9</w:t>
            </w:r>
          </w:p>
        </w:tc>
        <w:tc>
          <w:tcPr>
            <w:tcW w:w="1814"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5.8</w:t>
            </w:r>
          </w:p>
        </w:tc>
        <w:tc>
          <w:tcPr>
            <w:tcW w:w="90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Times New Roman" w:cs="Times New Roman"/>
                <w:sz w:val="18"/>
                <w:szCs w:val="18"/>
              </w:rPr>
              <w:t>41</w:t>
            </w:r>
          </w:p>
        </w:tc>
      </w:tr>
    </w:tbl>
    <w:p>
      <w:pPr>
        <w:pStyle w:val="Normal"/>
        <w:spacing w:lineRule="auto" w:line="360" w:before="0" w:after="160"/>
        <w:jc w:val="both"/>
        <w:rPr/>
      </w:pPr>
      <w:r>
        <w:rPr/>
      </w:r>
    </w:p>
    <w:p>
      <w:pPr>
        <w:pStyle w:val="Normal"/>
        <w:spacing w:lineRule="auto" w:line="360" w:before="0" w:after="160"/>
        <w:jc w:val="both"/>
        <w:rPr/>
      </w:pPr>
      <w:r>
        <w:rPr>
          <w:rFonts w:eastAsia="Times New Roman" w:cs="Times New Roman"/>
          <w:sz w:val="24"/>
          <w:szCs w:val="24"/>
        </w:rPr>
        <w:t>Los hospitales del Cluster 0 (alta complejidad/urgente) sirven desproporcionadamente a comunas de los quintiles IDH Q1–Q2, cerrando el ciclo de desventaja socioeconómico-institucional. Estos establecimientos enfrentan la combinación de pacientes más graves, menos electivos y mayor proporción de urgencias, con el agravante de servir a comunidades con menor acceso preventivo.</w:t>
      </w:r>
      <w:r>
        <w:rPr>
          <w:i/>
          <w:sz w:val="20"/>
        </w:rPr>
        <w:t xml:space="preserve"> (véase Figuras A15 y A16 en Anexo para la proyección PCA de clusters y el heatmap de perfiles hospitalarios).</w:t>
      </w:r>
    </w:p>
    <w:p>
      <w:pPr>
        <w:pStyle w:val="Heading2"/>
        <w:spacing w:before="240" w:after="120"/>
        <w:rPr/>
      </w:pPr>
      <w:r>
        <w:rPr>
          <w:rFonts w:eastAsia="Times New Roman" w:cs="Times New Roman"/>
          <w:b/>
          <w:bCs/>
          <w:color w:val="2E4DAA"/>
          <w:sz w:val="24"/>
          <w:szCs w:val="24"/>
        </w:rPr>
        <w:t>7.4 Refinamiento del Desbalance de Clase</w:t>
      </w:r>
    </w:p>
    <w:p>
      <w:pPr>
        <w:pStyle w:val="Normal"/>
        <w:spacing w:lineRule="auto" w:line="360" w:before="0" w:after="160"/>
        <w:jc w:val="both"/>
        <w:rPr/>
      </w:pPr>
      <w:r>
        <w:rPr>
          <w:rFonts w:eastAsia="Times New Roman" w:cs="Times New Roman"/>
          <w:sz w:val="24"/>
          <w:szCs w:val="24"/>
        </w:rPr>
        <w:t>La mortalidad intrahospitalaria (~4.05%) genera desbalance severo en el modelo logístico. Al umbral predeterminado de 0.5, la sensibilidad del modelo cae a casi cero. Se compararon tres estrategias: (1) Baseline sin ajustes, (2) class_weight='balanced' (scikit-learn), y (3) SMOTE (sobremuestreo sintético). Ambas estrategias de reequilibrio mejoran sustancialmente la sensibilidad. Para uso clínico preventivo, se recomienda umbral de decisión 0.10 con cualquiera de las dos estrategias, sacrificando especificidad a favor de no perder detecciones de casos de alto riesgo.</w:t>
      </w:r>
      <w:r>
        <w:rPr>
          <w:i/>
          <w:sz w:val="20"/>
        </w:rPr>
        <w:t xml:space="preserve"> (véase Figuras A17 y A18 en Anexo para la comparación ROC y el análisis de sensibilidad por umbral).</w:t>
      </w:r>
    </w:p>
    <w:p>
      <w:pPr>
        <w:pStyle w:val="Heading1"/>
        <w:pBdr>
          <w:bottom w:val="single" w:sz="6" w:space="0" w:color="1F497D"/>
        </w:pBdr>
        <w:spacing w:before="360" w:after="180"/>
        <w:rPr/>
      </w:pPr>
      <w:r>
        <w:rPr>
          <w:rFonts w:eastAsia="Times New Roman" w:cs="Times New Roman"/>
          <w:b/>
          <w:bCs/>
          <w:color w:val="1F497D"/>
          <w:sz w:val="28"/>
          <w:szCs w:val="28"/>
        </w:rPr>
        <w:t>8. Discusión</w:t>
      </w:r>
    </w:p>
    <w:p>
      <w:pPr>
        <w:pStyle w:val="Heading2"/>
        <w:spacing w:before="240" w:after="120"/>
        <w:rPr/>
      </w:pPr>
      <w:r>
        <w:rPr>
          <w:rFonts w:eastAsia="Times New Roman" w:cs="Times New Roman"/>
          <w:b/>
          <w:bCs/>
          <w:color w:val="2E4DAA"/>
          <w:sz w:val="24"/>
          <w:szCs w:val="24"/>
        </w:rPr>
        <w:t>8.1 Respuesta a la pregunta de investigación</w:t>
      </w:r>
    </w:p>
    <w:p>
      <w:pPr>
        <w:pStyle w:val="Normal"/>
        <w:spacing w:lineRule="auto" w:line="360" w:before="0" w:after="160"/>
        <w:jc w:val="both"/>
        <w:rPr/>
      </w:pPr>
      <w:r>
        <w:rPr>
          <w:rFonts w:eastAsia="Times New Roman" w:cs="Times New Roman"/>
          <w:sz w:val="24"/>
          <w:szCs w:val="24"/>
        </w:rPr>
        <w:t>La evidencia acumulada a través de cinco metodologías distintas confirma que el hospital de atención determina significativamente los resultados clínicos en cáncer gástrico, más allá del perfil observable del paciente. Las tres hipótesis son rechazadas con alta significancia estadística. El ICC cuantifica que el 18.4% de la varianza en estadías es atribuible al establecimiento — esto no es ruido estadístico, es variabilidad institucional real y potencialmente evitable.</w:t>
      </w:r>
    </w:p>
    <w:p>
      <w:pPr>
        <w:pStyle w:val="Heading2"/>
        <w:spacing w:before="240" w:after="120"/>
        <w:rPr/>
      </w:pPr>
      <w:r>
        <w:rPr>
          <w:rFonts w:eastAsia="Times New Roman" w:cs="Times New Roman"/>
          <w:b/>
          <w:bCs/>
          <w:color w:val="2E4DAA"/>
          <w:sz w:val="24"/>
          <w:szCs w:val="24"/>
        </w:rPr>
        <w:t>8.2 Comparación con literatura internacional</w:t>
      </w:r>
    </w:p>
    <w:p>
      <w:pPr>
        <w:pStyle w:val="Normal"/>
        <w:spacing w:lineRule="auto" w:line="360" w:before="0" w:after="160"/>
        <w:jc w:val="both"/>
        <w:rPr/>
      </w:pPr>
      <w:r>
        <w:rPr>
          <w:rFonts w:eastAsia="Times New Roman" w:cs="Times New Roman"/>
          <w:sz w:val="24"/>
          <w:szCs w:val="24"/>
        </w:rPr>
        <w:t>Kamaraju et al. (2022) documentaron diferencias de mortalidad de hasta 8 pp entre hospitales estadounidenses que tratan cáncer gástrico, tras ajuste por riesgo — rango que contiene nuestra diferencia observada de ~6 pp entre extremos. La OECD (2023) identifica la variabilidad hospitalaria como indicador de calidad prioritario, con proxies procedimentales que explican 15–25% de la varianza en estadías — rango que contiene nuestro ICC de 18.4%. En el contexto latinoamericano, evidencia similar ha sido documentada en Colombia (Piñeros et al., 2023) y Brasil (de Souza et al., 2021), donde las inequidades geográficas y por nivel de ingreso en resultados oncológicos son consistentes con los hallazgos del presente estudio.</w:t>
      </w:r>
    </w:p>
    <w:p>
      <w:pPr>
        <w:pStyle w:val="Heading2"/>
        <w:spacing w:before="240" w:after="120"/>
        <w:rPr/>
      </w:pPr>
      <w:r>
        <w:rPr>
          <w:rFonts w:eastAsia="Times New Roman" w:cs="Times New Roman"/>
          <w:b/>
          <w:bCs/>
          <w:color w:val="2E4DAA"/>
          <w:sz w:val="24"/>
          <w:szCs w:val="24"/>
        </w:rPr>
        <w:t>8.3 Mecanismos explicativos y dimensión de equidad</w:t>
      </w:r>
    </w:p>
    <w:p>
      <w:pPr>
        <w:pStyle w:val="Normal"/>
        <w:spacing w:lineRule="auto" w:line="360" w:before="0" w:after="160"/>
        <w:jc w:val="both"/>
        <w:rPr/>
      </w:pPr>
      <w:r>
        <w:rPr>
          <w:rFonts w:eastAsia="Times New Roman" w:cs="Times New Roman"/>
          <w:sz w:val="24"/>
          <w:szCs w:val="24"/>
        </w:rPr>
        <w:t>Dos mecanismos complementarios explican los hallazgos. Primero, sesgo de presentación tardía: pacientes de comunas de bajo IDH llegan con mayor severidad GRD y más urgencias, lo que independientemente eleva mortalidad y estadías — este mecanismo es capturado en los modelos a través de severidad_grd y tipo de ingreso. Segundo, incluso controlando estos proxies clínicos, persiste un efecto institucional residual (el ICC), consistente con diferencias en protocolos, infraestructura y recursos humanos entre establecimientos — la vía clásica de variabilidad clínica no justificada de Wennberg (2010). El clustering K-means ilustra cómo ambos mecanismos se refuerzan: los hospitales de alta complejidad/urgente (Cluster 0) sirven desproporcionadamente a comunas de bajo IDH.</w:t>
      </w:r>
    </w:p>
    <w:p>
      <w:pPr>
        <w:pStyle w:val="Heading2"/>
        <w:spacing w:before="240" w:after="120"/>
        <w:rPr/>
      </w:pPr>
      <w:r>
        <w:rPr>
          <w:rFonts w:eastAsia="Times New Roman" w:cs="Times New Roman"/>
          <w:b/>
          <w:bCs/>
          <w:color w:val="2E4DAA"/>
          <w:sz w:val="24"/>
          <w:szCs w:val="24"/>
        </w:rPr>
        <w:t>8.4 Limitaciones</w:t>
      </w:r>
    </w:p>
    <w:p>
      <w:pPr>
        <w:pStyle w:val="Normal"/>
        <w:spacing w:lineRule="auto" w:line="360" w:before="0" w:after="160"/>
        <w:jc w:val="both"/>
        <w:rPr/>
      </w:pPr>
      <w:r>
        <w:rPr>
          <w:rFonts w:eastAsia="Times New Roman" w:cs="Times New Roman"/>
          <w:sz w:val="24"/>
          <w:szCs w:val="24"/>
        </w:rPr>
        <w:t>Las principales limitaciones del estudio son: (1) La base GRD no incluye estadiaje TNM, histología, ECOG performance status ni régimen de tratamiento específico; estas variables, si disponibles, explicarían parte del 36% de varianza residual de H₃. (2) La unidad de análisis es el egreso, no el paciente individual: un paciente hospitalizado múltiples veces contribuye múltiples registros, impidiendo análisis de trayectoria individual. (3) El IDH opera a nivel comunal (riesgo de falacia ecológica), no individual. (4) El diseño observacional limita la inferencia causal; los hallazgos son asociaciones ajustadas.</w:t>
      </w:r>
    </w:p>
    <w:p>
      <w:pPr>
        <w:pStyle w:val="Heading1"/>
        <w:pBdr>
          <w:bottom w:val="single" w:sz="6" w:space="0" w:color="1F497D"/>
        </w:pBdr>
        <w:spacing w:before="360" w:after="180"/>
        <w:rPr/>
      </w:pPr>
      <w:r>
        <w:rPr>
          <w:rFonts w:eastAsia="Times New Roman" w:cs="Times New Roman"/>
          <w:b/>
          <w:bCs/>
          <w:color w:val="1F497D"/>
          <w:sz w:val="28"/>
          <w:szCs w:val="28"/>
        </w:rPr>
        <w:t>9. Conclusiones</w:t>
      </w:r>
    </w:p>
    <w:p>
      <w:pPr>
        <w:pStyle w:val="Normal"/>
        <w:spacing w:lineRule="auto" w:line="360" w:before="0" w:after="160"/>
        <w:jc w:val="both"/>
        <w:rPr/>
      </w:pPr>
      <w:r>
        <w:rPr>
          <w:rFonts w:eastAsia="Times New Roman" w:cs="Times New Roman"/>
          <w:sz w:val="24"/>
          <w:szCs w:val="24"/>
        </w:rPr>
        <w:t>Las tres hipótesis del estudio son rechazadas con evidencia robusta y consistente a través de múltiples metodologías. H₁ confirma variabilidad procedimental sistémica (ε²=0.08; 61.8% de pares de hospitales significativamente distintos). H₂ establece que cada procedimiento adicional incrementa las odds de mortalidad en 5% (AUC-ROC=0.823). H₃ cuantifica un aumento del 9.7% en estadías por procedimiento adicional (R²=0.636).</w:t>
      </w:r>
    </w:p>
    <w:p>
      <w:pPr>
        <w:pStyle w:val="Normal"/>
        <w:spacing w:lineRule="auto" w:line="360" w:before="0" w:after="160"/>
        <w:jc w:val="both"/>
        <w:rPr/>
      </w:pPr>
      <w:r>
        <w:rPr>
          <w:rFonts w:eastAsia="Times New Roman" w:cs="Times New Roman"/>
          <w:sz w:val="24"/>
          <w:szCs w:val="24"/>
        </w:rPr>
        <w:t>El modelo multinivel amplifica este hallazgo: el ICC=18.4% implica que el hospital de atención explica cerca de una quinta parte de la varianza en estadías hospitalarias — una fracción que debería estar determinada por las necesidades del paciente, no por el establecimiento donde llega. El gradiente socioeconómico (2.8 pp de diferencia Q1-Q5 en mortalidad) añade una dimensión de inequidad estructural: no solo hay variabilidad, sino que esa variabilidad se distribuye de forma sistemáticamente desfavorable para los pacientes más vulnerables.</w:t>
      </w:r>
    </w:p>
    <w:p>
      <w:pPr>
        <w:pStyle w:val="Normal"/>
        <w:spacing w:lineRule="auto" w:line="360" w:before="0" w:after="160"/>
        <w:jc w:val="both"/>
        <w:rPr/>
      </w:pPr>
      <w:r>
        <w:rPr>
          <w:rFonts w:eastAsia="Times New Roman" w:cs="Times New Roman"/>
          <w:sz w:val="24"/>
          <w:szCs w:val="24"/>
        </w:rPr>
        <w:t>Los hallazgos convergen en tres recomendaciones de política accionables dentro del marco FONASA vigente: (1) Estandarizar protocolos oncológicos en hospitales de alta variabilidad (Cluster 0). (2) Invertir diferencialmente en establecimientos de comunas de bajo IDH, abordando tanto la dimensión preventiva (diagnóstico temprano) como la curativa (capacidad institucional). (3) Implementar sistemas de derivación temprana de casos complejos hacia centros de mayor resolución, usando la tipología de clusters como marco de decisión clínico-administrativa.</w:t>
      </w:r>
    </w:p>
    <w:p>
      <w:pPr>
        <w:pStyle w:val="Normal"/>
        <w:pBdr>
          <w:left w:val="single" w:sz="8" w:space="0" w:color="1F497D"/>
        </w:pBdr>
        <w:spacing w:lineRule="auto" w:line="360" w:before="240" w:after="240"/>
        <w:ind w:start="720"/>
        <w:jc w:val="both"/>
        <w:rPr/>
      </w:pPr>
      <w:r>
        <w:rPr>
          <w:rFonts w:eastAsia="Times New Roman" w:cs="Times New Roman"/>
          <w:b/>
          <w:bCs/>
          <w:sz w:val="24"/>
          <w:szCs w:val="24"/>
        </w:rPr>
        <w:t>La variabilidad hospitalaria en cáncer gástrico en Chile es real, estadísticamente robusta y socioeconomicamente inequitativa. Esa variabilidad es medible — y con la voluntad de política pública adecuada, es reducible.</w:t>
      </w:r>
    </w:p>
    <w:p>
      <w:pPr>
        <w:pStyle w:val="Heading1"/>
        <w:pBdr>
          <w:bottom w:val="single" w:sz="6" w:space="0" w:color="1F497D"/>
        </w:pBdr>
        <w:spacing w:before="360" w:after="180"/>
        <w:rPr/>
      </w:pPr>
      <w:r>
        <w:rPr>
          <w:rFonts w:eastAsia="Times New Roman" w:cs="Times New Roman"/>
          <w:b/>
          <w:bCs/>
          <w:color w:val="1F497D"/>
          <w:sz w:val="28"/>
          <w:szCs w:val="28"/>
        </w:rPr>
        <w:t>10. Referencias</w:t>
      </w:r>
    </w:p>
    <w:p>
      <w:pPr>
        <w:pStyle w:val="Normal"/>
        <w:spacing w:lineRule="auto" w:line="319" w:before="60" w:after="120"/>
        <w:ind w:hanging="720" w:start="720"/>
        <w:rPr/>
      </w:pPr>
      <w:r>
        <w:rPr>
          <w:rFonts w:eastAsia="Times New Roman" w:cs="Times New Roman"/>
          <w:sz w:val="22"/>
          <w:szCs w:val="22"/>
        </w:rPr>
        <w:t>Hollander, M., &amp; Wolfe, D. A. (1999). Nonparametric statistical methods (2nd ed.). Wiley.</w:t>
      </w:r>
    </w:p>
    <w:p>
      <w:pPr>
        <w:pStyle w:val="Normal"/>
        <w:spacing w:lineRule="auto" w:line="319" w:before="60" w:after="120"/>
        <w:ind w:hanging="720" w:start="720"/>
        <w:rPr/>
      </w:pPr>
      <w:r>
        <w:rPr>
          <w:rFonts w:eastAsia="Times New Roman" w:cs="Times New Roman"/>
          <w:sz w:val="22"/>
          <w:szCs w:val="22"/>
        </w:rPr>
        <w:t>Kamaraju, S., Maganty, A., &amp; Davies, B. J. (2022). Hospital-level variation in the management and outcomes of gastric cancer. Journal of Surgical Oncology, 126(4), 656–665.</w:t>
      </w:r>
    </w:p>
    <w:p>
      <w:pPr>
        <w:pStyle w:val="Normal"/>
        <w:spacing w:lineRule="auto" w:line="319" w:before="60" w:after="120"/>
        <w:ind w:hanging="720" w:start="720"/>
        <w:rPr/>
      </w:pPr>
      <w:r>
        <w:rPr>
          <w:rFonts w:eastAsia="Times New Roman" w:cs="Times New Roman"/>
          <w:sz w:val="22"/>
          <w:szCs w:val="22"/>
        </w:rPr>
        <w:t>Ministerio de Salud de Chile. (2023). Situación de Salud de Chile 2023: Indicadores Básicos. MINSAL.</w:t>
      </w:r>
    </w:p>
    <w:p>
      <w:pPr>
        <w:pStyle w:val="Normal"/>
        <w:spacing w:lineRule="auto" w:line="319" w:before="60" w:after="120"/>
        <w:ind w:hanging="720" w:start="720"/>
        <w:rPr/>
      </w:pPr>
      <w:r>
        <w:rPr>
          <w:rFonts w:eastAsia="Times New Roman" w:cs="Times New Roman"/>
          <w:sz w:val="22"/>
          <w:szCs w:val="22"/>
        </w:rPr>
        <w:t>Ministerio de Salud de Chile. (2024). Base de datos GRD Público MINSAL/FONASA 2019–2024. https://datos.gob.cl</w:t>
      </w:r>
    </w:p>
    <w:p>
      <w:pPr>
        <w:pStyle w:val="Normal"/>
        <w:spacing w:lineRule="auto" w:line="319" w:before="60" w:after="120"/>
        <w:ind w:hanging="720" w:start="720"/>
        <w:rPr/>
      </w:pPr>
      <w:r>
        <w:rPr>
          <w:rFonts w:eastAsia="Times New Roman" w:cs="Times New Roman"/>
          <w:sz w:val="22"/>
          <w:szCs w:val="22"/>
        </w:rPr>
        <w:t>OECD. (2023). Health at a Glance 2023: OECD Indicators. OECD Publishing. https://doi.org/10.1787/7a7afb35-en</w:t>
      </w:r>
    </w:p>
    <w:p>
      <w:pPr>
        <w:pStyle w:val="Normal"/>
        <w:spacing w:lineRule="auto" w:line="319" w:before="60" w:after="120"/>
        <w:ind w:hanging="720" w:start="720"/>
        <w:rPr/>
      </w:pPr>
      <w:r>
        <w:rPr>
          <w:rFonts w:eastAsia="Times New Roman" w:cs="Times New Roman"/>
          <w:sz w:val="22"/>
          <w:szCs w:val="22"/>
        </w:rPr>
        <w:t>Wennberg, J. E. (2010). Tracking medicine: A researcher's quest to understand health care. Oxford University Press.</w:t>
      </w:r>
    </w:p>
    <w:p>
      <w:pPr>
        <w:pStyle w:val="Normal"/>
        <w:spacing w:lineRule="auto" w:line="319" w:before="60" w:after="120"/>
        <w:ind w:hanging="720" w:start="720"/>
        <w:rPr/>
      </w:pPr>
      <w:r>
        <w:rPr>
          <w:rFonts w:eastAsia="Times New Roman" w:cs="Times New Roman"/>
          <w:sz w:val="22"/>
          <w:szCs w:val="22"/>
        </w:rPr>
        <w:t>Wennberg, J., &amp; Gittelsohn, A. (1973). Small area variations in health care delivery. Science, 182(4117), 1102–1108.</w:t>
      </w:r>
    </w:p>
    <w:p>
      <w:pPr>
        <w:pStyle w:val="Normal"/>
        <w:spacing w:lineRule="auto" w:line="319" w:before="60" w:after="120"/>
        <w:ind w:hanging="720" w:start="720"/>
        <w:rPr/>
      </w:pPr>
      <w:r>
        <w:rPr>
          <w:rFonts w:eastAsia="Times New Roman" w:cs="Times New Roman"/>
          <w:sz w:val="22"/>
          <w:szCs w:val="22"/>
        </w:rPr>
        <w:t>White, H. (1980). A heteroskedasticity-consistent covariance matrix estimator and a direct test for heteroskedasticity. Econometrica, 48(4), 817–838.</w:t>
      </w:r>
    </w:p>
    <w:p>
      <w:pPr>
        <w:pStyle w:val="Normal"/>
        <w:spacing w:lineRule="auto" w:line="319" w:before="60" w:after="120"/>
        <w:ind w:hanging="720" w:start="720"/>
        <w:rPr/>
      </w:pPr>
      <w:r>
        <w:rPr>
          <w:rFonts w:eastAsia="Times New Roman" w:cs="Times New Roman"/>
          <w:sz w:val="22"/>
          <w:szCs w:val="22"/>
        </w:rPr>
        <w:t>Harris, C. R., et al. (2020). Array programming with NumPy. Nature, 585(7825), 357–362.</w:t>
      </w:r>
    </w:p>
    <w:p>
      <w:pPr>
        <w:pStyle w:val="Normal"/>
        <w:spacing w:lineRule="auto" w:line="319" w:before="60" w:after="120"/>
        <w:ind w:hanging="720" w:start="720"/>
        <w:rPr/>
      </w:pPr>
      <w:r>
        <w:rPr>
          <w:rFonts w:eastAsia="Times New Roman" w:cs="Times New Roman"/>
          <w:sz w:val="22"/>
          <w:szCs w:val="22"/>
        </w:rPr>
        <w:t>Hunter, J. D. (2007). Matplotlib: A 2D graphics environment. Computing in Science &amp; Engineering, 9(3), 90–95.</w:t>
      </w:r>
    </w:p>
    <w:p>
      <w:pPr>
        <w:pStyle w:val="Normal"/>
        <w:spacing w:lineRule="auto" w:line="319" w:before="60" w:after="120"/>
        <w:ind w:hanging="720" w:start="720"/>
        <w:rPr/>
      </w:pPr>
      <w:r>
        <w:rPr>
          <w:rFonts w:eastAsia="Times New Roman" w:cs="Times New Roman"/>
          <w:sz w:val="22"/>
          <w:szCs w:val="22"/>
        </w:rPr>
        <w:t>McKinney, W. (2010). Data structures for statistical computing in Python. Proceedings 9th Python in Science Conference, 51–56.</w:t>
      </w:r>
    </w:p>
    <w:p>
      <w:pPr>
        <w:pStyle w:val="Normal"/>
        <w:spacing w:lineRule="auto" w:line="319" w:before="60" w:after="120"/>
        <w:ind w:hanging="720" w:start="720"/>
        <w:rPr/>
      </w:pPr>
      <w:r>
        <w:rPr>
          <w:rFonts w:eastAsia="Times New Roman" w:cs="Times New Roman"/>
          <w:sz w:val="22"/>
          <w:szCs w:val="22"/>
        </w:rPr>
        <w:t>Pedregosa, F., et al. (2011). Scikit-learn: Machine learning in Python. Journal of Machine Learning Research, 12, 2825–2830.</w:t>
      </w:r>
    </w:p>
    <w:p>
      <w:pPr>
        <w:pStyle w:val="Normal"/>
        <w:spacing w:lineRule="auto" w:line="319" w:before="60" w:after="120"/>
        <w:ind w:hanging="720" w:start="720"/>
        <w:rPr/>
      </w:pPr>
      <w:r>
        <w:rPr>
          <w:rFonts w:eastAsia="Times New Roman" w:cs="Times New Roman"/>
          <w:sz w:val="22"/>
          <w:szCs w:val="22"/>
        </w:rPr>
        <w:t>Seabold, S., &amp; Perktold, J. (2010). Statsmodels: Econometric and statistical modeling with Python. Proceedings 9th Python in Science Conference, 57–61.</w:t>
      </w:r>
    </w:p>
    <w:p>
      <w:pPr>
        <w:pStyle w:val="Normal"/>
        <w:spacing w:lineRule="auto" w:line="319" w:before="60" w:after="120"/>
        <w:ind w:hanging="720" w:start="720"/>
        <w:rPr/>
      </w:pPr>
      <w:r>
        <w:rPr>
          <w:rFonts w:eastAsia="Times New Roman" w:cs="Times New Roman"/>
          <w:sz w:val="22"/>
          <w:szCs w:val="22"/>
        </w:rPr>
        <w:t>Virtanen, P., et al. (2020). SciPy 1.0: Fundamental algorithms for scientific computing in Python. Nature Methods, 17(3), 261–272.</w:t>
      </w:r>
    </w:p>
    <w:p>
      <w:pPr>
        <w:pStyle w:val="Normal"/>
        <w:spacing w:lineRule="auto" w:line="319" w:before="60" w:after="120"/>
        <w:ind w:hanging="720" w:start="720"/>
        <w:rPr/>
      </w:pPr>
      <w:r>
        <w:rPr>
          <w:rFonts w:eastAsia="Times New Roman" w:cs="Times New Roman"/>
          <w:sz w:val="22"/>
          <w:szCs w:val="22"/>
        </w:rPr>
        <w:t>Waskom, M. L. (2021). seaborn: Statistical data visualization. Journal of Open Source Software, 6(60), 3021.</w:t>
      </w:r>
    </w:p>
    <w:p>
      <w:pPr>
        <w:pStyle w:val="Normal"/>
        <w:rPr/>
      </w:pPr>
      <w:r>
        <w:rPr/>
      </w:r>
      <w:r>
        <w:br w:type="page"/>
      </w:r>
    </w:p>
    <w:p>
      <w:pPr>
        <w:pStyle w:val="Heading1"/>
        <w:spacing w:before="0" w:after="180"/>
        <w:jc w:val="start"/>
        <w:rPr/>
      </w:pPr>
      <w:r>
        <w:rPr>
          <w:b/>
          <w:sz w:val="28"/>
        </w:rPr>
        <w:t>Anexo: Figuras del Estudio</w:t>
      </w:r>
    </w:p>
    <w:p>
      <w:pPr>
        <w:pStyle w:val="Normal"/>
        <w:spacing w:before="0" w:after="240"/>
        <w:rPr/>
      </w:pPr>
      <w:r>
        <w:rPr>
          <w:sz w:val="20"/>
        </w:rPr>
        <w:t>A continuación se presentan las figuras referenciadas en el texto principal del informe. La numeración sigue el formato Figura A1–A18, correspondiente al orden de aparición en el documento. Todas las figuras fueron generadas a partir del análisis del dataset GRD MINSAL/FONASA 2019–2024 utilizando Python (matplotlib, seaborn, scikit-learn, statsmodels).</w:t>
      </w:r>
    </w:p>
    <w:p>
      <w:pPr>
        <w:pStyle w:val="Normal"/>
        <w:spacing w:before="240" w:after="80"/>
        <w:jc w:val="center"/>
        <w:rPr/>
      </w:pPr>
      <w:r>
        <w:rPr/>
        <w:drawing>
          <wp:inline distT="0" distB="0" distL="0" distR="0">
            <wp:extent cx="5029200" cy="3560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3560445"/>
                    </a:xfrm>
                    <a:prstGeom prst="rect">
                      <a:avLst/>
                    </a:prstGeom>
                    <a:noFill/>
                  </pic:spPr>
                </pic:pic>
              </a:graphicData>
            </a:graphic>
          </wp:inline>
        </w:drawing>
      </w:r>
    </w:p>
    <w:p>
      <w:pPr>
        <w:pStyle w:val="Normal"/>
        <w:spacing w:before="0" w:after="360"/>
        <w:jc w:val="start"/>
        <w:rPr/>
      </w:pPr>
      <w:r>
        <w:rPr>
          <w:b/>
          <w:i/>
          <w:sz w:val="20"/>
        </w:rPr>
        <w:t>Figura A1</w:t>
      </w:r>
      <w:r>
        <w:rPr>
          <w:sz w:val="20"/>
        </w:rPr>
        <w:t>. Distribuciones univariadas de las variables clave en pacientes con cáncer gástrico (C16.*). Los paneles muestran histogramas con curva de densidad para días de estadía, edad, cantidad de procedimientos, severidad GRD, peso GRD y comorbilidad. N = 17.096 egresos (2019–2024).</w:t>
      </w:r>
    </w:p>
    <w:p>
      <w:pPr>
        <w:pStyle w:val="Normal"/>
        <w:spacing w:before="240" w:after="80"/>
        <w:jc w:val="center"/>
        <w:rPr/>
      </w:pPr>
      <w:r>
        <w:rPr/>
        <w:drawing>
          <wp:inline distT="0" distB="0" distL="0" distR="0">
            <wp:extent cx="5029200" cy="4454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4454525"/>
                    </a:xfrm>
                    <a:prstGeom prst="rect">
                      <a:avLst/>
                    </a:prstGeom>
                    <a:noFill/>
                  </pic:spPr>
                </pic:pic>
              </a:graphicData>
            </a:graphic>
          </wp:inline>
        </w:drawing>
      </w:r>
    </w:p>
    <w:p>
      <w:pPr>
        <w:pStyle w:val="Normal"/>
        <w:spacing w:before="0" w:after="360"/>
        <w:jc w:val="start"/>
        <w:rPr/>
      </w:pPr>
      <w:r>
        <w:rPr>
          <w:b/>
          <w:i/>
          <w:sz w:val="20"/>
        </w:rPr>
        <w:t>Figura A2</w:t>
      </w:r>
      <w:r>
        <w:rPr>
          <w:sz w:val="20"/>
        </w:rPr>
        <w:t>. Matriz de correlación de Pearson entre variables numéricas del subconjunto C16.*. Se destaca la correlación positiva entre procedimientos y días de estadía (r ≈ 0.55) y entre severidad GRD y días de estadía (r ≈ 0.48).</w:t>
      </w:r>
    </w:p>
    <w:p>
      <w:pPr>
        <w:pStyle w:val="Normal"/>
        <w:spacing w:before="240" w:after="80"/>
        <w:jc w:val="center"/>
        <w:rPr/>
      </w:pPr>
      <w:r>
        <w:rPr/>
        <w:drawing>
          <wp:inline distT="0" distB="0" distL="0" distR="0">
            <wp:extent cx="5029200" cy="2853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2853055"/>
                    </a:xfrm>
                    <a:prstGeom prst="rect">
                      <a:avLst/>
                    </a:prstGeom>
                    <a:noFill/>
                  </pic:spPr>
                </pic:pic>
              </a:graphicData>
            </a:graphic>
          </wp:inline>
        </w:drawing>
      </w:r>
    </w:p>
    <w:p>
      <w:pPr>
        <w:pStyle w:val="Normal"/>
        <w:spacing w:before="0" w:after="360"/>
        <w:jc w:val="start"/>
        <w:rPr/>
      </w:pPr>
      <w:r>
        <w:rPr>
          <w:b/>
          <w:i/>
          <w:sz w:val="20"/>
        </w:rPr>
        <w:t>Figura A3</w:t>
      </w:r>
      <w:r>
        <w:rPr>
          <w:sz w:val="20"/>
        </w:rPr>
        <w:t>. Distribución de días de estadía por hospital para pacientes con cáncer gástrico (C16.*). La mediana varía de 0 a más de 9 días entre establecimientos, evidenciando la variabilidad institucional que motiva el estudio. Top 25 hospitales por volumen de egresos.</w:t>
      </w:r>
    </w:p>
    <w:p>
      <w:pPr>
        <w:pStyle w:val="Normal"/>
        <w:spacing w:before="240" w:after="80"/>
        <w:jc w:val="center"/>
        <w:rPr/>
      </w:pPr>
      <w:r>
        <w:rPr/>
        <w:drawing>
          <wp:inline distT="0" distB="0" distL="0" distR="0">
            <wp:extent cx="50292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3341370"/>
                    </a:xfrm>
                    <a:prstGeom prst="rect">
                      <a:avLst/>
                    </a:prstGeom>
                    <a:noFill/>
                  </pic:spPr>
                </pic:pic>
              </a:graphicData>
            </a:graphic>
          </wp:inline>
        </w:drawing>
      </w:r>
    </w:p>
    <w:p>
      <w:pPr>
        <w:pStyle w:val="Normal"/>
        <w:spacing w:before="0" w:after="360"/>
        <w:jc w:val="start"/>
        <w:rPr/>
      </w:pPr>
      <w:r>
        <w:rPr>
          <w:b/>
          <w:i/>
          <w:sz w:val="20"/>
        </w:rPr>
        <w:t>Figura A4</w:t>
      </w:r>
      <w:r>
        <w:rPr>
          <w:sz w:val="20"/>
        </w:rPr>
        <w:t>. Tasa de mortalidad intrahospitalaria por hospital en pacientes con cáncer gástrico (C16.*). La diferencia entre hospitales alcanza hasta 12 puntos porcentuales. Barras de error representan intervalos de confianza al 95%.</w:t>
      </w:r>
    </w:p>
    <w:p>
      <w:pPr>
        <w:pStyle w:val="Normal"/>
        <w:spacing w:before="240" w:after="80"/>
        <w:jc w:val="center"/>
        <w:rPr/>
      </w:pPr>
      <w:r>
        <w:rPr/>
        <w:drawing>
          <wp:inline distT="0" distB="0" distL="0" distR="0">
            <wp:extent cx="5029200" cy="3344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3344545"/>
                    </a:xfrm>
                    <a:prstGeom prst="rect">
                      <a:avLst/>
                    </a:prstGeom>
                    <a:noFill/>
                  </pic:spPr>
                </pic:pic>
              </a:graphicData>
            </a:graphic>
          </wp:inline>
        </w:drawing>
      </w:r>
    </w:p>
    <w:p>
      <w:pPr>
        <w:pStyle w:val="Normal"/>
        <w:spacing w:before="0" w:after="360"/>
        <w:jc w:val="start"/>
        <w:rPr/>
      </w:pPr>
      <w:r>
        <w:rPr>
          <w:b/>
          <w:i/>
          <w:sz w:val="20"/>
        </w:rPr>
        <w:t>Figura A5</w:t>
      </w:r>
      <w:r>
        <w:rPr>
          <w:sz w:val="20"/>
        </w:rPr>
        <w:t>. Promedio de procedimientos realizados por hospital en pacientes con cáncer gástrico (C16.*). La diferencia entre hospitales alcanza hasta 6 procedimientos promedio para el mismo diagnóstico. Barras de error representan intervalos de confianza al 95%.</w:t>
      </w:r>
    </w:p>
    <w:p>
      <w:pPr>
        <w:pStyle w:val="Normal"/>
        <w:spacing w:before="240" w:after="80"/>
        <w:jc w:val="center"/>
        <w:rPr/>
      </w:pPr>
      <w:r>
        <w:rPr/>
        <w:drawing>
          <wp:inline distT="0" distB="0" distL="0" distR="0">
            <wp:extent cx="5029200" cy="2230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29200" cy="2230120"/>
                    </a:xfrm>
                    <a:prstGeom prst="rect">
                      <a:avLst/>
                    </a:prstGeom>
                    <a:noFill/>
                  </pic:spPr>
                </pic:pic>
              </a:graphicData>
            </a:graphic>
          </wp:inline>
        </w:drawing>
      </w:r>
    </w:p>
    <w:p>
      <w:pPr>
        <w:pStyle w:val="Normal"/>
        <w:spacing w:before="0" w:after="360"/>
        <w:jc w:val="start"/>
        <w:rPr/>
      </w:pPr>
      <w:r>
        <w:rPr>
          <w:b/>
          <w:i/>
          <w:sz w:val="20"/>
        </w:rPr>
        <w:t>Figura A6</w:t>
      </w:r>
      <w:r>
        <w:rPr>
          <w:sz w:val="20"/>
        </w:rPr>
        <w:t>. Distribución de egresos por tipo de ingreso y sexo en cáncer gástrico (C16.*). Los hombres representan aproximadamente el 60% de los ingresos. Los ingresos de urgencia concentran una mortalidad 13 veces mayor que los programados (13.9% vs. 1.1%).</w:t>
      </w:r>
    </w:p>
    <w:p>
      <w:pPr>
        <w:pStyle w:val="Normal"/>
        <w:spacing w:before="240" w:after="80"/>
        <w:jc w:val="center"/>
        <w:rPr/>
      </w:pPr>
      <w:r>
        <w:rPr/>
        <w:drawing>
          <wp:inline distT="0" distB="0" distL="0" distR="0">
            <wp:extent cx="5029200" cy="4697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029200" cy="4697095"/>
                    </a:xfrm>
                    <a:prstGeom prst="rect">
                      <a:avLst/>
                    </a:prstGeom>
                    <a:noFill/>
                  </pic:spPr>
                </pic:pic>
              </a:graphicData>
            </a:graphic>
          </wp:inline>
        </w:drawing>
      </w:r>
    </w:p>
    <w:p>
      <w:pPr>
        <w:pStyle w:val="Normal"/>
        <w:spacing w:before="0" w:after="360"/>
        <w:jc w:val="start"/>
        <w:rPr/>
      </w:pPr>
      <w:r>
        <w:rPr>
          <w:b/>
          <w:i/>
          <w:sz w:val="20"/>
        </w:rPr>
        <w:t>Figura A7</w:t>
      </w:r>
      <w:r>
        <w:rPr>
          <w:sz w:val="20"/>
        </w:rPr>
        <w:t>. Heatmap de p-valores ajustados del test post-hoc Dunn-Bonferroni para cantidad de procedimientos entre pares de hospitales (H₁). Celdas oscuras indican pares con diferencias estadísticamente significativas (p &lt; 0.05). El 61.8% de los pares muestran diferencias significativas.</w:t>
      </w:r>
    </w:p>
    <w:p>
      <w:pPr>
        <w:pStyle w:val="Normal"/>
        <w:spacing w:before="240" w:after="80"/>
        <w:jc w:val="center"/>
        <w:rPr/>
      </w:pPr>
      <w:r>
        <w:rPr/>
        <w:drawing>
          <wp:inline distT="0" distB="0" distL="0" distR="0">
            <wp:extent cx="5029200" cy="5012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029200" cy="5012055"/>
                    </a:xfrm>
                    <a:prstGeom prst="rect">
                      <a:avLst/>
                    </a:prstGeom>
                    <a:noFill/>
                  </pic:spPr>
                </pic:pic>
              </a:graphicData>
            </a:graphic>
          </wp:inline>
        </w:drawing>
      </w:r>
    </w:p>
    <w:p>
      <w:pPr>
        <w:pStyle w:val="Normal"/>
        <w:spacing w:before="0" w:after="360"/>
        <w:jc w:val="start"/>
        <w:rPr/>
      </w:pPr>
      <w:r>
        <w:rPr>
          <w:b/>
          <w:i/>
          <w:sz w:val="20"/>
        </w:rPr>
        <w:t>Figura A8</w:t>
      </w:r>
      <w:r>
        <w:rPr>
          <w:sz w:val="20"/>
        </w:rPr>
        <w:t>. Curva ROC del modelo de regresión logística para mortalidad intrahospitalaria (H₂). AUC = 0.823, indicando capacidad discriminativa buena. Modelo ajustado por procedimientos, edad, severidad GRD, peso GRD, comorbilidad y hospital.</w:t>
      </w:r>
    </w:p>
    <w:p>
      <w:pPr>
        <w:pStyle w:val="Normal"/>
        <w:spacing w:before="240" w:after="80"/>
        <w:jc w:val="center"/>
        <w:rPr/>
      </w:pPr>
      <w:r>
        <w:rPr/>
        <w:drawing>
          <wp:inline distT="0" distB="0" distL="0" distR="0">
            <wp:extent cx="5029200" cy="3523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029200" cy="3523615"/>
                    </a:xfrm>
                    <a:prstGeom prst="rect">
                      <a:avLst/>
                    </a:prstGeom>
                    <a:noFill/>
                  </pic:spPr>
                </pic:pic>
              </a:graphicData>
            </a:graphic>
          </wp:inline>
        </w:drawing>
      </w:r>
    </w:p>
    <w:p>
      <w:pPr>
        <w:pStyle w:val="Normal"/>
        <w:spacing w:before="0" w:after="360"/>
        <w:jc w:val="start"/>
        <w:rPr/>
      </w:pPr>
      <w:r>
        <w:rPr>
          <w:b/>
          <w:i/>
          <w:sz w:val="20"/>
        </w:rPr>
        <w:t>Figura A9</w:t>
      </w:r>
      <w:r>
        <w:rPr>
          <w:sz w:val="20"/>
        </w:rPr>
        <w:t>. Forest plot de odds ratios ajustados del modelo de regresión logística para mortalidad intrahospitalaria (H₂). La severidad GRD es el predictor dominante (OR = 6.12). Los intervalos de confianza son al 95%.</w:t>
      </w:r>
    </w:p>
    <w:p>
      <w:pPr>
        <w:pStyle w:val="Normal"/>
        <w:spacing w:before="240" w:after="80"/>
        <w:jc w:val="center"/>
        <w:rPr/>
      </w:pPr>
      <w:r>
        <w:rPr/>
        <w:drawing>
          <wp:inline distT="0" distB="0" distL="0" distR="0">
            <wp:extent cx="5029200" cy="502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029200" cy="5029200"/>
                    </a:xfrm>
                    <a:prstGeom prst="rect">
                      <a:avLst/>
                    </a:prstGeom>
                    <a:noFill/>
                  </pic:spPr>
                </pic:pic>
              </a:graphicData>
            </a:graphic>
          </wp:inline>
        </w:drawing>
      </w:r>
    </w:p>
    <w:p>
      <w:pPr>
        <w:pStyle w:val="Normal"/>
        <w:spacing w:before="0" w:after="360"/>
        <w:jc w:val="start"/>
        <w:rPr/>
      </w:pPr>
      <w:r>
        <w:rPr>
          <w:b/>
          <w:i/>
          <w:sz w:val="20"/>
        </w:rPr>
        <w:t>Figura A10</w:t>
      </w:r>
      <w:r>
        <w:rPr>
          <w:sz w:val="20"/>
        </w:rPr>
        <w:t>. Valores predichos versus observados del modelo OLS para log(1 + días de estadía) (H₃). R² = 0.636. Errores estándar robustos HC3. La línea de 45° indica predicción perfecta.</w:t>
      </w:r>
    </w:p>
    <w:p>
      <w:pPr>
        <w:pStyle w:val="Normal"/>
        <w:spacing w:before="240" w:after="80"/>
        <w:jc w:val="center"/>
        <w:rPr/>
      </w:pPr>
      <w:r>
        <w:rPr/>
        <w:drawing>
          <wp:inline distT="0" distB="0" distL="0" distR="0">
            <wp:extent cx="5029200" cy="44494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029200" cy="4449445"/>
                    </a:xfrm>
                    <a:prstGeom prst="rect">
                      <a:avLst/>
                    </a:prstGeom>
                    <a:noFill/>
                  </pic:spPr>
                </pic:pic>
              </a:graphicData>
            </a:graphic>
          </wp:inline>
        </w:drawing>
      </w:r>
    </w:p>
    <w:p>
      <w:pPr>
        <w:pStyle w:val="Normal"/>
        <w:spacing w:before="0" w:after="360"/>
        <w:jc w:val="start"/>
        <w:rPr/>
      </w:pPr>
      <w:r>
        <w:rPr>
          <w:b/>
          <w:i/>
          <w:sz w:val="20"/>
        </w:rPr>
        <w:t>Figura A11</w:t>
      </w:r>
      <w:r>
        <w:rPr>
          <w:sz w:val="20"/>
        </w:rPr>
        <w:t>. Panel de diagnóstico de residuos del modelo OLS (H₃). Incluye: residuos vs. valores ajustados, Q-Q plot de normalidad, histograma de residuos y residuos vs. leverage. Los patrones son consistentes con un ajuste razonable del modelo.</w:t>
      </w:r>
    </w:p>
    <w:p>
      <w:pPr>
        <w:pStyle w:val="Normal"/>
        <w:spacing w:before="240" w:after="80"/>
        <w:jc w:val="center"/>
        <w:rPr/>
      </w:pPr>
      <w:r>
        <w:rPr/>
        <w:drawing>
          <wp:inline distT="0" distB="0" distL="0" distR="0">
            <wp:extent cx="5029200" cy="33762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029200" cy="3376295"/>
                    </a:xfrm>
                    <a:prstGeom prst="rect">
                      <a:avLst/>
                    </a:prstGeom>
                    <a:noFill/>
                  </pic:spPr>
                </pic:pic>
              </a:graphicData>
            </a:graphic>
          </wp:inline>
        </w:drawing>
      </w:r>
    </w:p>
    <w:p>
      <w:pPr>
        <w:pStyle w:val="Normal"/>
        <w:spacing w:before="0" w:after="360"/>
        <w:jc w:val="start"/>
        <w:rPr/>
      </w:pPr>
      <w:r>
        <w:rPr>
          <w:b/>
          <w:i/>
          <w:sz w:val="20"/>
        </w:rPr>
        <w:t>Figura A12</w:t>
      </w:r>
      <w:r>
        <w:rPr>
          <w:sz w:val="20"/>
        </w:rPr>
        <w:t>. Forest plot de interceptos aleatorios por hospital del modelo multinivel (ICC). σ²_hospital = 0.041, σ²_residual = 0.183, ICC = 18.4%. Los interceptos representan la desviación de cada hospital respecto a la media global en log(días de estadía).</w:t>
      </w:r>
    </w:p>
    <w:p>
      <w:pPr>
        <w:pStyle w:val="Normal"/>
        <w:spacing w:before="240" w:after="80"/>
        <w:jc w:val="center"/>
        <w:rPr/>
      </w:pPr>
      <w:r>
        <w:rPr/>
        <w:drawing>
          <wp:inline distT="0" distB="0" distL="0" distR="0">
            <wp:extent cx="5029200" cy="2915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029200" cy="2915920"/>
                    </a:xfrm>
                    <a:prstGeom prst="rect">
                      <a:avLst/>
                    </a:prstGeom>
                    <a:noFill/>
                  </pic:spPr>
                </pic:pic>
              </a:graphicData>
            </a:graphic>
          </wp:inline>
        </w:drawing>
      </w:r>
    </w:p>
    <w:p>
      <w:pPr>
        <w:pStyle w:val="Normal"/>
        <w:spacing w:before="0" w:after="360"/>
        <w:jc w:val="start"/>
        <w:rPr/>
      </w:pPr>
      <w:r>
        <w:rPr>
          <w:b/>
          <w:i/>
          <w:sz w:val="20"/>
        </w:rPr>
        <w:t>Figura A13</w:t>
      </w:r>
      <w:r>
        <w:rPr>
          <w:sz w:val="20"/>
        </w:rPr>
        <w:t>. Distribución de días de estadía por quintil de IDH comunal en cáncer gástrico (C16.*). Pacientes de comunas Q1 presentan estadías más largas (mediana 8 vs. 6 días en Q5). Kruskal-Wallis: H(4) = 28.7, p &lt; 0.001.</w:t>
      </w:r>
    </w:p>
    <w:p>
      <w:pPr>
        <w:pStyle w:val="Normal"/>
        <w:spacing w:before="240" w:after="80"/>
        <w:jc w:val="center"/>
        <w:rPr/>
      </w:pPr>
      <w:r>
        <w:rPr/>
        <w:drawing>
          <wp:inline distT="0" distB="0" distL="0" distR="0">
            <wp:extent cx="5029200" cy="3505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029200" cy="3505200"/>
                    </a:xfrm>
                    <a:prstGeom prst="rect">
                      <a:avLst/>
                    </a:prstGeom>
                    <a:noFill/>
                  </pic:spPr>
                </pic:pic>
              </a:graphicData>
            </a:graphic>
          </wp:inline>
        </w:drawing>
      </w:r>
    </w:p>
    <w:p>
      <w:pPr>
        <w:pStyle w:val="Normal"/>
        <w:spacing w:before="0" w:after="360"/>
        <w:jc w:val="start"/>
        <w:rPr/>
      </w:pPr>
      <w:r>
        <w:rPr>
          <w:b/>
          <w:i/>
          <w:sz w:val="20"/>
        </w:rPr>
        <w:t>Figura A14</w:t>
      </w:r>
      <w:r>
        <w:rPr>
          <w:sz w:val="20"/>
        </w:rPr>
        <w:t>. Tasa de mortalidad intrahospitalaria por quintil de IDH comunal en cáncer gástrico (C16.*). Gradiente de mortalidad: Q1 = 5.2%, Q5 = 2.4%. Diferencia Q1–Q5: 2.8 pp (117% en términos relativos). χ²(4) = 14.2, p = 0.003.</w:t>
      </w:r>
    </w:p>
    <w:p>
      <w:pPr>
        <w:pStyle w:val="Normal"/>
        <w:spacing w:before="240" w:after="80"/>
        <w:jc w:val="center"/>
        <w:rPr/>
      </w:pPr>
      <w:r>
        <w:rPr/>
        <w:drawing>
          <wp:inline distT="0" distB="0" distL="0" distR="0">
            <wp:extent cx="5029200" cy="3193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029200" cy="3193415"/>
                    </a:xfrm>
                    <a:prstGeom prst="rect">
                      <a:avLst/>
                    </a:prstGeom>
                    <a:noFill/>
                  </pic:spPr>
                </pic:pic>
              </a:graphicData>
            </a:graphic>
          </wp:inline>
        </w:drawing>
      </w:r>
    </w:p>
    <w:p>
      <w:pPr>
        <w:pStyle w:val="Normal"/>
        <w:spacing w:before="0" w:after="360"/>
        <w:jc w:val="start"/>
        <w:rPr/>
      </w:pPr>
      <w:r>
        <w:rPr>
          <w:b/>
          <w:i/>
          <w:sz w:val="20"/>
        </w:rPr>
        <w:t>Figura A15</w:t>
      </w:r>
      <w:r>
        <w:rPr>
          <w:sz w:val="20"/>
        </w:rPr>
        <w:t>. Proyección PCA de hospitales según clustering K-means (k = 3, silhouette = 0.43) en cáncer gástrico (C16.*). Las tres tipologías identificadas son: alta complejidad/urgente (Cluster 0), perfil quirúrgico (Cluster 1) y hospital general (Cluster 2).</w:t>
      </w:r>
    </w:p>
    <w:p>
      <w:pPr>
        <w:pStyle w:val="Normal"/>
        <w:spacing w:before="240" w:after="80"/>
        <w:jc w:val="center"/>
        <w:rPr/>
      </w:pPr>
      <w:r>
        <w:rPr/>
        <w:drawing>
          <wp:inline distT="0" distB="0" distL="0" distR="0">
            <wp:extent cx="5029200" cy="2092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029200" cy="2092960"/>
                    </a:xfrm>
                    <a:prstGeom prst="rect">
                      <a:avLst/>
                    </a:prstGeom>
                    <a:noFill/>
                  </pic:spPr>
                </pic:pic>
              </a:graphicData>
            </a:graphic>
          </wp:inline>
        </w:drawing>
      </w:r>
    </w:p>
    <w:p>
      <w:pPr>
        <w:pStyle w:val="Normal"/>
        <w:spacing w:before="0" w:after="360"/>
        <w:jc w:val="start"/>
        <w:rPr/>
      </w:pPr>
      <w:r>
        <w:rPr>
          <w:b/>
          <w:i/>
          <w:sz w:val="20"/>
        </w:rPr>
        <w:t>Figura A16</w:t>
      </w:r>
      <w:r>
        <w:rPr>
          <w:sz w:val="20"/>
        </w:rPr>
        <w:t>. Heatmap de centroides normalizados por cluster hospitalario (K-means, k = 3). Los perfiles muestran diferenciación clara en las variables de desempeño institucional: procedimientos, estadía, severidad, mortalidad y proporción de urgencias.</w:t>
      </w:r>
    </w:p>
    <w:p>
      <w:pPr>
        <w:pStyle w:val="Normal"/>
        <w:spacing w:before="240" w:after="80"/>
        <w:jc w:val="center"/>
        <w:rPr/>
      </w:pPr>
      <w:r>
        <w:rPr/>
        <w:drawing>
          <wp:inline distT="0" distB="0" distL="0" distR="0">
            <wp:extent cx="5029200" cy="44665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029200" cy="4466590"/>
                    </a:xfrm>
                    <a:prstGeom prst="rect">
                      <a:avLst/>
                    </a:prstGeom>
                    <a:noFill/>
                  </pic:spPr>
                </pic:pic>
              </a:graphicData>
            </a:graphic>
          </wp:inline>
        </w:drawing>
      </w:r>
    </w:p>
    <w:p>
      <w:pPr>
        <w:pStyle w:val="Normal"/>
        <w:spacing w:before="0" w:after="360"/>
        <w:jc w:val="start"/>
        <w:rPr/>
      </w:pPr>
      <w:r>
        <w:rPr>
          <w:b/>
          <w:i/>
          <w:sz w:val="20"/>
        </w:rPr>
        <w:t>Figura A17</w:t>
      </w:r>
      <w:r>
        <w:rPr>
          <w:sz w:val="20"/>
        </w:rPr>
        <w:t>. Comparación de curvas ROC entre tres estrategias para el desbalance de clase en el modelo logístico: (1) Baseline sin ajuste, (2) class_weight='balanced', y (3) SMOTE. Ambas estrategias de reequilibrio mejoran la sensibilidad del modelo.</w:t>
      </w:r>
    </w:p>
    <w:p>
      <w:pPr>
        <w:pStyle w:val="Normal"/>
        <w:spacing w:before="240" w:after="80"/>
        <w:jc w:val="center"/>
        <w:rPr/>
      </w:pPr>
      <w:r>
        <w:rPr/>
        <w:drawing>
          <wp:inline distT="0" distB="0" distL="0" distR="0">
            <wp:extent cx="5029200" cy="17367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029200" cy="1736725"/>
                    </a:xfrm>
                    <a:prstGeom prst="rect">
                      <a:avLst/>
                    </a:prstGeom>
                    <a:noFill/>
                  </pic:spPr>
                </pic:pic>
              </a:graphicData>
            </a:graphic>
          </wp:inline>
        </w:drawing>
      </w:r>
    </w:p>
    <w:p>
      <w:pPr>
        <w:pStyle w:val="Normal"/>
        <w:spacing w:before="0" w:after="360"/>
        <w:jc w:val="start"/>
        <w:rPr/>
      </w:pPr>
      <w:r>
        <w:rPr>
          <w:b/>
          <w:i/>
          <w:sz w:val="20"/>
        </w:rPr>
        <w:t>Figura A18</w:t>
      </w:r>
      <w:r>
        <w:rPr>
          <w:sz w:val="20"/>
        </w:rPr>
        <w:t>. Análisis de sensibilidad y especificidad por umbral de decisión en el modelo logístico con desbalance de clase. Para uso clínico preventivo, se recomienda umbral 0.10, sacrificando especificidad a favor de no perder detecciones de alto riesgo.</w:t>
      </w:r>
    </w:p>
    <w:sectPr>
      <w:footerReference w:type="even" r:id="rId20"/>
      <w:footerReference w:type="default" r:id="rId21"/>
      <w:footerReference w:type="first" r:id="rId22"/>
      <w:type w:val="nextPage"/>
      <w:pgSz w:w="11906" w:h="16838"/>
      <w:pgMar w:left="1418" w:right="1418" w:gutter="0" w:header="0" w:top="1418" w:footer="708" w:bottom="177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24</w:t>
    </w:r>
    <w:r>
      <w:rPr>
        <w:rFonts w:eastAsia="Times New Roman" w:cs="Times New Roman"/>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24</w:t>
    </w:r>
    <w:r>
      <w:rPr>
        <w:rFonts w:eastAsia="Times New Roman" w:cs="Times New Roman"/>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180"/>
      <w:outlineLvl w:val="0"/>
    </w:pPr>
    <w:rPr>
      <w:rFonts w:ascii="Times New Roman" w:hAnsi="Times New Roman" w:eastAsia="Times New Roman" w:cs="Times New Roman"/>
      <w:b/>
      <w:bCs/>
      <w:color w:val="1F497D"/>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2E4DA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LibreOffice/26.2.3.2$Linux_X86_64 LibreOffice_project/620$Build-2</Application>
  <AppVersion>15.0000</AppVersion>
  <Pages>24</Pages>
  <Words>4189</Words>
  <Characters>24262</Characters>
  <CharactersWithSpaces>27991</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2026-05-13T16:06:39Z</dcterms:created>
  <dc:creator>Un-named</dc:creator>
  <dc:description/>
  <dc:language>en-US</dc:language>
  <cp:lastModifiedBy/>
  <dcterms:modified xsi:type="dcterms:W3CDTF">2026-05-15T17:28:43Z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