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F051F" w14:textId="77777777" w:rsidR="00416B41" w:rsidRDefault="00416B41">
      <w:pPr>
        <w:spacing w:before="1600"/>
      </w:pPr>
    </w:p>
    <w:p w14:paraId="4AA45D5D" w14:textId="77777777" w:rsidR="00416B41" w:rsidRPr="0071434C" w:rsidRDefault="00000000">
      <w:pPr>
        <w:jc w:val="center"/>
        <w:rPr>
          <w:rFonts w:ascii="Arial" w:hAnsi="Arial" w:cs="Arial"/>
          <w:lang w:val="en-US"/>
        </w:rPr>
      </w:pPr>
      <w:r w:rsidRPr="0071434C">
        <w:rPr>
          <w:rFonts w:ascii="Arial" w:hAnsi="Arial" w:cs="Arial"/>
          <w:b/>
          <w:bCs/>
          <w:color w:val="1F3864"/>
          <w:sz w:val="56"/>
          <w:szCs w:val="56"/>
          <w:lang w:val="en-US"/>
        </w:rPr>
        <w:t>SSPILLOWY</w:t>
      </w:r>
    </w:p>
    <w:p w14:paraId="1E9E903B" w14:textId="77777777" w:rsidR="00416B41" w:rsidRPr="0071434C" w:rsidRDefault="00000000">
      <w:pPr>
        <w:spacing w:after="100"/>
        <w:jc w:val="center"/>
        <w:rPr>
          <w:rFonts w:ascii="Arial" w:hAnsi="Arial" w:cs="Arial"/>
          <w:lang w:val="en-US"/>
        </w:rPr>
      </w:pPr>
      <w:r w:rsidRPr="0071434C">
        <w:rPr>
          <w:rFonts w:ascii="Arial" w:hAnsi="Arial" w:cs="Arial"/>
          <w:i/>
          <w:iCs/>
          <w:color w:val="595959"/>
          <w:sz w:val="24"/>
          <w:szCs w:val="24"/>
          <w:lang w:val="en-US"/>
        </w:rPr>
        <w:t>Software Security Platform for Intelligent, Low-latency Oversight &amp; Warning Yield</w:t>
      </w:r>
    </w:p>
    <w:p w14:paraId="440FD9EF" w14:textId="77777777" w:rsidR="00416B41" w:rsidRPr="0071434C" w:rsidRDefault="00000000">
      <w:pPr>
        <w:spacing w:before="300"/>
        <w:jc w:val="center"/>
        <w:rPr>
          <w:rFonts w:ascii="Arial" w:hAnsi="Arial" w:cs="Arial"/>
        </w:rPr>
      </w:pPr>
      <w:r w:rsidRPr="0071434C">
        <w:rPr>
          <w:rFonts w:ascii="Arial" w:hAnsi="Arial" w:cs="Arial"/>
          <w:b/>
          <w:bCs/>
          <w:color w:val="2E74B5"/>
          <w:sz w:val="26"/>
          <w:szCs w:val="26"/>
        </w:rPr>
        <w:t>Documento de Definición Técnica y de Negocio</w:t>
      </w:r>
    </w:p>
    <w:p w14:paraId="2F289000" w14:textId="77777777" w:rsidR="00416B41" w:rsidRPr="0071434C" w:rsidRDefault="00000000">
      <w:pPr>
        <w:pBdr>
          <w:top w:val="single" w:sz="6" w:space="10" w:color="2E74B5"/>
        </w:pBdr>
        <w:spacing w:before="800"/>
        <w:jc w:val="center"/>
        <w:rPr>
          <w:rFonts w:ascii="Arial" w:hAnsi="Arial" w:cs="Arial"/>
        </w:rPr>
      </w:pPr>
      <w:r w:rsidRPr="0071434C">
        <w:rPr>
          <w:rFonts w:ascii="Arial" w:hAnsi="Arial" w:cs="Arial"/>
          <w:color w:val="595959"/>
        </w:rPr>
        <w:t>Plataforma integral de gobernanza DevSecOps</w:t>
      </w:r>
    </w:p>
    <w:p w14:paraId="4229123D" w14:textId="77777777" w:rsidR="00416B41" w:rsidRPr="0071434C" w:rsidRDefault="00000000">
      <w:pPr>
        <w:rPr>
          <w:rFonts w:ascii="Arial" w:hAnsi="Arial" w:cs="Arial"/>
        </w:rPr>
      </w:pPr>
      <w:r w:rsidRPr="0071434C">
        <w:rPr>
          <w:rFonts w:ascii="Arial" w:hAnsi="Arial" w:cs="Arial"/>
        </w:rPr>
        <w:br w:type="page"/>
      </w:r>
    </w:p>
    <w:p w14:paraId="3CAD7784" w14:textId="77777777" w:rsidR="00416B41" w:rsidRPr="0071434C" w:rsidRDefault="00000000">
      <w:pPr>
        <w:pStyle w:val="Ttulo1"/>
        <w:pBdr>
          <w:bottom w:val="single" w:sz="6" w:space="4" w:color="2E74B5"/>
        </w:pBdr>
        <w:spacing w:before="400" w:after="200"/>
        <w:rPr>
          <w:rFonts w:ascii="Arial" w:hAnsi="Arial" w:cs="Arial"/>
        </w:rPr>
      </w:pPr>
      <w:r w:rsidRPr="0071434C">
        <w:rPr>
          <w:rFonts w:ascii="Arial" w:hAnsi="Arial" w:cs="Arial"/>
          <w:b/>
          <w:bCs/>
          <w:color w:val="1F3864"/>
          <w:sz w:val="30"/>
          <w:szCs w:val="30"/>
        </w:rPr>
        <w:lastRenderedPageBreak/>
        <w:t>1. Contexto y Justificación del Proyecto</w:t>
      </w:r>
    </w:p>
    <w:p w14:paraId="65CED61F" w14:textId="77777777" w:rsidR="00416B41" w:rsidRPr="0071434C" w:rsidRDefault="00000000">
      <w:pPr>
        <w:pStyle w:val="Ttulo2"/>
        <w:spacing w:before="300" w:after="150"/>
        <w:rPr>
          <w:rFonts w:ascii="Arial" w:hAnsi="Arial" w:cs="Arial"/>
        </w:rPr>
      </w:pPr>
      <w:r w:rsidRPr="0071434C">
        <w:rPr>
          <w:rFonts w:ascii="Arial" w:hAnsi="Arial" w:cs="Arial"/>
          <w:b/>
          <w:bCs/>
          <w:sz w:val="24"/>
          <w:szCs w:val="24"/>
        </w:rPr>
        <w:t>El problema de negocio y técnico</w:t>
      </w:r>
    </w:p>
    <w:p w14:paraId="4AF954ED" w14:textId="77777777" w:rsidR="00416B41" w:rsidRPr="0071434C" w:rsidRDefault="00000000">
      <w:pPr>
        <w:spacing w:after="160" w:line="276" w:lineRule="auto"/>
        <w:rPr>
          <w:rFonts w:ascii="Arial" w:hAnsi="Arial" w:cs="Arial"/>
        </w:rPr>
      </w:pPr>
      <w:r w:rsidRPr="0071434C">
        <w:rPr>
          <w:rFonts w:ascii="Arial" w:hAnsi="Arial" w:cs="Arial"/>
          <w:sz w:val="22"/>
          <w:szCs w:val="22"/>
        </w:rPr>
        <w:t>En el ciclo de vida del desarrollo moderno (CI/CD), la seguridad suele convertirse en un cuello de botella o en un punto ciego por tres motivos estructurales:</w:t>
      </w:r>
    </w:p>
    <w:p w14:paraId="5A3BF6FE" w14:textId="77777777" w:rsidR="00416B41" w:rsidRPr="0071434C" w:rsidRDefault="00000000">
      <w:pPr>
        <w:pStyle w:val="Prrafodelista"/>
        <w:numPr>
          <w:ilvl w:val="0"/>
          <w:numId w:val="2"/>
        </w:numPr>
        <w:spacing w:after="90"/>
        <w:rPr>
          <w:rFonts w:ascii="Arial" w:hAnsi="Arial" w:cs="Arial"/>
        </w:rPr>
      </w:pPr>
      <w:r w:rsidRPr="0071434C">
        <w:rPr>
          <w:rFonts w:ascii="Arial" w:hAnsi="Arial" w:cs="Arial"/>
          <w:b/>
          <w:bCs/>
          <w:color w:val="1F3864"/>
          <w:sz w:val="22"/>
          <w:szCs w:val="22"/>
        </w:rPr>
        <w:t xml:space="preserve">Fragmentación de herramientas: </w:t>
      </w:r>
      <w:r w:rsidRPr="0071434C">
        <w:rPr>
          <w:rFonts w:ascii="Arial" w:hAnsi="Arial" w:cs="Arial"/>
          <w:sz w:val="22"/>
          <w:szCs w:val="22"/>
        </w:rPr>
        <w:t>los equipos ejecutan herramientas aisladas (SAST, SCA, escáneres de secretos, DAST) que generan reportes en formatos heterogéneos y dispersos, sin una base de datos unificada.</w:t>
      </w:r>
    </w:p>
    <w:p w14:paraId="497F4185" w14:textId="77777777" w:rsidR="00416B41" w:rsidRPr="0071434C" w:rsidRDefault="00000000">
      <w:pPr>
        <w:pStyle w:val="Prrafodelista"/>
        <w:numPr>
          <w:ilvl w:val="0"/>
          <w:numId w:val="2"/>
        </w:numPr>
        <w:spacing w:after="90"/>
        <w:rPr>
          <w:rFonts w:ascii="Arial" w:hAnsi="Arial" w:cs="Arial"/>
        </w:rPr>
      </w:pPr>
      <w:r w:rsidRPr="0071434C">
        <w:rPr>
          <w:rFonts w:ascii="Arial" w:hAnsi="Arial" w:cs="Arial"/>
          <w:b/>
          <w:bCs/>
          <w:color w:val="1F3864"/>
          <w:sz w:val="22"/>
          <w:szCs w:val="22"/>
        </w:rPr>
        <w:t xml:space="preserve">Sobrecarga por falsos positivos: </w:t>
      </w:r>
      <w:r w:rsidRPr="0071434C">
        <w:rPr>
          <w:rFonts w:ascii="Arial" w:hAnsi="Arial" w:cs="Arial"/>
          <w:sz w:val="22"/>
          <w:szCs w:val="22"/>
        </w:rPr>
        <w:t>las herramientas estáticas reportan cientos de advertencias sin contexto de explotación, saturando a los desarrolladores y retrasando los lanzamientos.</w:t>
      </w:r>
    </w:p>
    <w:p w14:paraId="32015D97" w14:textId="77777777" w:rsidR="00416B41" w:rsidRPr="0071434C" w:rsidRDefault="00000000">
      <w:pPr>
        <w:pStyle w:val="Prrafodelista"/>
        <w:numPr>
          <w:ilvl w:val="0"/>
          <w:numId w:val="2"/>
        </w:numPr>
        <w:spacing w:after="90"/>
        <w:rPr>
          <w:rFonts w:ascii="Arial" w:hAnsi="Arial" w:cs="Arial"/>
        </w:rPr>
      </w:pPr>
      <w:r w:rsidRPr="0071434C">
        <w:rPr>
          <w:rFonts w:ascii="Arial" w:hAnsi="Arial" w:cs="Arial"/>
          <w:b/>
          <w:bCs/>
          <w:color w:val="1F3864"/>
          <w:sz w:val="22"/>
          <w:szCs w:val="22"/>
        </w:rPr>
        <w:t xml:space="preserve">Desconexión entre ingeniería y liderazgo: </w:t>
      </w:r>
      <w:r w:rsidRPr="0071434C">
        <w:rPr>
          <w:rFonts w:ascii="Arial" w:hAnsi="Arial" w:cs="Arial"/>
          <w:sz w:val="22"/>
          <w:szCs w:val="22"/>
        </w:rPr>
        <w:t>los líderes técnicos, CISO o DevOps Leads no tienen visibilidad móvil ni capacidad de decisión inmediata cuando un fallo crítico o una fuga de secretos bloquea un despliegue a producción.</w:t>
      </w:r>
    </w:p>
    <w:p w14:paraId="79702E43" w14:textId="77777777" w:rsidR="00416B41" w:rsidRPr="0071434C" w:rsidRDefault="00000000">
      <w:pPr>
        <w:pStyle w:val="Ttulo2"/>
        <w:spacing w:before="300" w:after="150"/>
        <w:rPr>
          <w:rFonts w:ascii="Arial" w:hAnsi="Arial" w:cs="Arial"/>
        </w:rPr>
      </w:pPr>
      <w:r w:rsidRPr="0071434C">
        <w:rPr>
          <w:rFonts w:ascii="Arial" w:hAnsi="Arial" w:cs="Arial"/>
          <w:b/>
          <w:bCs/>
          <w:sz w:val="24"/>
          <w:szCs w:val="24"/>
        </w:rPr>
        <w:t>La solución SSPILLOWY</w:t>
      </w:r>
    </w:p>
    <w:p w14:paraId="5FABBA52" w14:textId="77777777" w:rsidR="00416B41" w:rsidRPr="0071434C" w:rsidRDefault="00000000">
      <w:pPr>
        <w:spacing w:after="160" w:line="276" w:lineRule="auto"/>
        <w:rPr>
          <w:rFonts w:ascii="Arial" w:hAnsi="Arial" w:cs="Arial"/>
        </w:rPr>
      </w:pPr>
      <w:r w:rsidRPr="0071434C">
        <w:rPr>
          <w:rFonts w:ascii="Arial" w:hAnsi="Arial" w:cs="Arial"/>
          <w:sz w:val="22"/>
          <w:szCs w:val="22"/>
        </w:rPr>
        <w:t>SSPILLOWY desacopla la ejecución pesada de escaneos de la gestión operativa. Actúa como un orquestador centralizado que ejecuta análisis multidimensionales de código, normaliza los hallazgos en un modelo de datos unificado, aplica una capa agéntica de IA para el triaje contextual y permite el control remoto de políticas y despliegues desde cualquier dispositivo.</w:t>
      </w:r>
    </w:p>
    <w:p w14:paraId="5A17D0E7" w14:textId="77777777" w:rsidR="00416B41" w:rsidRPr="0071434C" w:rsidRDefault="00000000">
      <w:pPr>
        <w:pStyle w:val="Ttulo1"/>
        <w:pBdr>
          <w:bottom w:val="single" w:sz="6" w:space="4" w:color="2E74B5"/>
        </w:pBdr>
        <w:spacing w:before="400" w:after="200"/>
        <w:rPr>
          <w:rFonts w:ascii="Arial" w:hAnsi="Arial" w:cs="Arial"/>
        </w:rPr>
      </w:pPr>
      <w:r w:rsidRPr="0071434C">
        <w:rPr>
          <w:rFonts w:ascii="Arial" w:hAnsi="Arial" w:cs="Arial"/>
          <w:b/>
          <w:bCs/>
          <w:color w:val="1F3864"/>
          <w:sz w:val="30"/>
          <w:szCs w:val="30"/>
        </w:rPr>
        <w:t>2. Estrategia y Diferenciadores del Sistema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416B41" w:rsidRPr="0071434C" w14:paraId="0EBE998E" w14:textId="77777777">
        <w:tblPrEx>
          <w:tblCellMar>
            <w:top w:w="0" w:type="dxa"/>
            <w:bottom w:w="0" w:type="dxa"/>
          </w:tblCellMar>
        </w:tblPrEx>
        <w:tc>
          <w:tcPr>
            <w:tcW w:w="3200" w:type="dxa"/>
            <w:shd w:val="clear" w:color="auto" w:fill="1F3864"/>
            <w:tcMar>
              <w:top w:w="80" w:type="dxa"/>
              <w:left w:w="100" w:type="dxa"/>
              <w:bottom w:w="80" w:type="dxa"/>
              <w:right w:w="100" w:type="dxa"/>
            </w:tcMar>
            <w:vAlign w:val="center"/>
          </w:tcPr>
          <w:p w14:paraId="5EB60415" w14:textId="77777777" w:rsidR="00416B41" w:rsidRPr="0071434C" w:rsidRDefault="00000000">
            <w:pPr>
              <w:rPr>
                <w:rFonts w:ascii="Arial" w:hAnsi="Arial" w:cs="Arial"/>
              </w:rPr>
            </w:pPr>
            <w:r w:rsidRPr="0071434C">
              <w:rPr>
                <w:rFonts w:ascii="Arial" w:hAnsi="Arial" w:cs="Arial"/>
                <w:b/>
                <w:bCs/>
                <w:color w:val="FFFFFF"/>
              </w:rPr>
              <w:t>Pilar</w:t>
            </w:r>
          </w:p>
        </w:tc>
        <w:tc>
          <w:tcPr>
            <w:tcW w:w="6300" w:type="dxa"/>
            <w:shd w:val="clear" w:color="auto" w:fill="1F3864"/>
            <w:tcMar>
              <w:top w:w="80" w:type="dxa"/>
              <w:left w:w="100" w:type="dxa"/>
              <w:bottom w:w="80" w:type="dxa"/>
              <w:right w:w="100" w:type="dxa"/>
            </w:tcMar>
            <w:vAlign w:val="center"/>
          </w:tcPr>
          <w:p w14:paraId="07C7957D" w14:textId="77777777" w:rsidR="00416B41" w:rsidRPr="0071434C" w:rsidRDefault="00000000">
            <w:pPr>
              <w:rPr>
                <w:rFonts w:ascii="Arial" w:hAnsi="Arial" w:cs="Arial"/>
              </w:rPr>
            </w:pPr>
            <w:r w:rsidRPr="0071434C">
              <w:rPr>
                <w:rFonts w:ascii="Arial" w:hAnsi="Arial" w:cs="Arial"/>
                <w:b/>
                <w:bCs/>
                <w:color w:val="FFFFFF"/>
              </w:rPr>
              <w:t>Descripción</w:t>
            </w:r>
          </w:p>
        </w:tc>
      </w:tr>
      <w:tr w:rsidR="00416B41" w:rsidRPr="0071434C" w14:paraId="65DCCD30"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41159874" w14:textId="77777777" w:rsidR="00416B41" w:rsidRPr="0071434C" w:rsidRDefault="00000000">
            <w:pPr>
              <w:rPr>
                <w:rFonts w:ascii="Arial" w:hAnsi="Arial" w:cs="Arial"/>
              </w:rPr>
            </w:pPr>
            <w:r w:rsidRPr="0071434C">
              <w:rPr>
                <w:rFonts w:ascii="Arial" w:hAnsi="Arial" w:cs="Arial"/>
                <w:color w:val="000000"/>
              </w:rPr>
              <w:t>1. Detección determinista</w:t>
            </w:r>
          </w:p>
        </w:tc>
        <w:tc>
          <w:tcPr>
            <w:tcW w:w="6300" w:type="dxa"/>
            <w:shd w:val="clear" w:color="auto" w:fill="FFFFFF"/>
            <w:tcMar>
              <w:top w:w="80" w:type="dxa"/>
              <w:left w:w="100" w:type="dxa"/>
              <w:bottom w:w="80" w:type="dxa"/>
              <w:right w:w="100" w:type="dxa"/>
            </w:tcMar>
            <w:vAlign w:val="center"/>
          </w:tcPr>
          <w:p w14:paraId="748678FF" w14:textId="77777777" w:rsidR="00416B41" w:rsidRPr="0071434C" w:rsidRDefault="00000000">
            <w:pPr>
              <w:rPr>
                <w:rFonts w:ascii="Arial" w:hAnsi="Arial" w:cs="Arial"/>
              </w:rPr>
            </w:pPr>
            <w:r w:rsidRPr="0071434C">
              <w:rPr>
                <w:rFonts w:ascii="Arial" w:hAnsi="Arial" w:cs="Arial"/>
                <w:color w:val="000000"/>
              </w:rPr>
              <w:t>Motores especializados por estándar (cero margen de invento)</w:t>
            </w:r>
          </w:p>
        </w:tc>
      </w:tr>
      <w:tr w:rsidR="00416B41" w:rsidRPr="0071434C" w14:paraId="0A01C33C"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62B8A2B2" w14:textId="77777777" w:rsidR="00416B41" w:rsidRPr="0071434C" w:rsidRDefault="00000000">
            <w:pPr>
              <w:rPr>
                <w:rFonts w:ascii="Arial" w:hAnsi="Arial" w:cs="Arial"/>
              </w:rPr>
            </w:pPr>
            <w:r w:rsidRPr="0071434C">
              <w:rPr>
                <w:rFonts w:ascii="Arial" w:hAnsi="Arial" w:cs="Arial"/>
                <w:color w:val="000000"/>
              </w:rPr>
              <w:t>2. Triaje agéntico con IA</w:t>
            </w:r>
          </w:p>
        </w:tc>
        <w:tc>
          <w:tcPr>
            <w:tcW w:w="6300" w:type="dxa"/>
            <w:shd w:val="clear" w:color="auto" w:fill="F2F2F2"/>
            <w:tcMar>
              <w:top w:w="80" w:type="dxa"/>
              <w:left w:w="100" w:type="dxa"/>
              <w:bottom w:w="80" w:type="dxa"/>
              <w:right w:w="100" w:type="dxa"/>
            </w:tcMar>
            <w:vAlign w:val="center"/>
          </w:tcPr>
          <w:p w14:paraId="604674F5" w14:textId="77777777" w:rsidR="00416B41" w:rsidRPr="0071434C" w:rsidRDefault="00000000">
            <w:pPr>
              <w:rPr>
                <w:rFonts w:ascii="Arial" w:hAnsi="Arial" w:cs="Arial"/>
              </w:rPr>
            </w:pPr>
            <w:r w:rsidRPr="0071434C">
              <w:rPr>
                <w:rFonts w:ascii="Arial" w:hAnsi="Arial" w:cs="Arial"/>
                <w:color w:val="000000"/>
              </w:rPr>
              <w:t>Contextualización de impacto y sugerencias (human-in-the-loop)</w:t>
            </w:r>
          </w:p>
        </w:tc>
      </w:tr>
      <w:tr w:rsidR="00416B41" w:rsidRPr="0071434C" w14:paraId="04C2AAC1"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0AB7B50" w14:textId="77777777" w:rsidR="00416B41" w:rsidRPr="0071434C" w:rsidRDefault="00000000">
            <w:pPr>
              <w:rPr>
                <w:rFonts w:ascii="Arial" w:hAnsi="Arial" w:cs="Arial"/>
              </w:rPr>
            </w:pPr>
            <w:r w:rsidRPr="0071434C">
              <w:rPr>
                <w:rFonts w:ascii="Arial" w:hAnsi="Arial" w:cs="Arial"/>
                <w:color w:val="000000"/>
              </w:rPr>
              <w:t>3. Doble superficie operativa</w:t>
            </w:r>
          </w:p>
        </w:tc>
        <w:tc>
          <w:tcPr>
            <w:tcW w:w="6300" w:type="dxa"/>
            <w:shd w:val="clear" w:color="auto" w:fill="FFFFFF"/>
            <w:tcMar>
              <w:top w:w="80" w:type="dxa"/>
              <w:left w:w="100" w:type="dxa"/>
              <w:bottom w:w="80" w:type="dxa"/>
              <w:right w:w="100" w:type="dxa"/>
            </w:tcMar>
            <w:vAlign w:val="center"/>
          </w:tcPr>
          <w:p w14:paraId="4DA66D79" w14:textId="77777777" w:rsidR="00416B41" w:rsidRPr="0071434C" w:rsidRDefault="00000000">
            <w:pPr>
              <w:rPr>
                <w:rFonts w:ascii="Arial" w:hAnsi="Arial" w:cs="Arial"/>
              </w:rPr>
            </w:pPr>
            <w:r w:rsidRPr="0071434C">
              <w:rPr>
                <w:rFonts w:ascii="Arial" w:hAnsi="Arial" w:cs="Arial"/>
                <w:color w:val="000000"/>
              </w:rPr>
              <w:t>Web para auditoría profunda + móvil para respuesta crítica</w:t>
            </w:r>
          </w:p>
        </w:tc>
      </w:tr>
      <w:tr w:rsidR="00416B41" w:rsidRPr="0071434C" w14:paraId="54CA9844"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3B1D6D5A" w14:textId="77777777" w:rsidR="00416B41" w:rsidRPr="0071434C" w:rsidRDefault="00000000">
            <w:pPr>
              <w:rPr>
                <w:rFonts w:ascii="Arial" w:hAnsi="Arial" w:cs="Arial"/>
              </w:rPr>
            </w:pPr>
            <w:r w:rsidRPr="0071434C">
              <w:rPr>
                <w:rFonts w:ascii="Arial" w:hAnsi="Arial" w:cs="Arial"/>
                <w:color w:val="000000"/>
              </w:rPr>
              <w:t>4. Trazabilidad normativa</w:t>
            </w:r>
          </w:p>
        </w:tc>
        <w:tc>
          <w:tcPr>
            <w:tcW w:w="6300" w:type="dxa"/>
            <w:shd w:val="clear" w:color="auto" w:fill="F2F2F2"/>
            <w:tcMar>
              <w:top w:w="80" w:type="dxa"/>
              <w:left w:w="100" w:type="dxa"/>
              <w:bottom w:w="80" w:type="dxa"/>
              <w:right w:w="100" w:type="dxa"/>
            </w:tcMar>
            <w:vAlign w:val="center"/>
          </w:tcPr>
          <w:p w14:paraId="72F8FB38" w14:textId="77777777" w:rsidR="00416B41" w:rsidRPr="0071434C" w:rsidRDefault="00000000">
            <w:pPr>
              <w:rPr>
                <w:rFonts w:ascii="Arial" w:hAnsi="Arial" w:cs="Arial"/>
              </w:rPr>
            </w:pPr>
            <w:r w:rsidRPr="0071434C">
              <w:rPr>
                <w:rFonts w:ascii="Arial" w:hAnsi="Arial" w:cs="Arial"/>
                <w:color w:val="000000"/>
              </w:rPr>
              <w:t>Mapeo nativo contra OWASP Top 10, CWE e ISO/IEC 27001:2022</w:t>
            </w:r>
          </w:p>
        </w:tc>
      </w:tr>
    </w:tbl>
    <w:p w14:paraId="7B404B88" w14:textId="77777777" w:rsidR="00416B41" w:rsidRPr="0071434C" w:rsidRDefault="00416B41">
      <w:pPr>
        <w:spacing w:before="240"/>
        <w:rPr>
          <w:rFonts w:ascii="Arial" w:hAnsi="Arial" w:cs="Arial"/>
        </w:rPr>
      </w:pPr>
    </w:p>
    <w:p w14:paraId="6C9E90A5" w14:textId="77777777" w:rsidR="00416B41" w:rsidRPr="0071434C" w:rsidRDefault="00000000">
      <w:pPr>
        <w:pStyle w:val="Prrafodelista"/>
        <w:numPr>
          <w:ilvl w:val="0"/>
          <w:numId w:val="2"/>
        </w:numPr>
        <w:spacing w:after="90"/>
        <w:rPr>
          <w:rFonts w:ascii="Arial" w:hAnsi="Arial" w:cs="Arial"/>
        </w:rPr>
      </w:pPr>
      <w:r w:rsidRPr="0071434C">
        <w:rPr>
          <w:rFonts w:ascii="Arial" w:hAnsi="Arial" w:cs="Arial"/>
          <w:b/>
          <w:bCs/>
          <w:color w:val="1F3864"/>
          <w:sz w:val="22"/>
          <w:szCs w:val="22"/>
        </w:rPr>
        <w:t xml:space="preserve">Separación estricta entre detección e interpretación: </w:t>
      </w:r>
      <w:r w:rsidRPr="0071434C">
        <w:rPr>
          <w:rFonts w:ascii="Arial" w:hAnsi="Arial" w:cs="Arial"/>
          <w:sz w:val="22"/>
          <w:szCs w:val="22"/>
        </w:rPr>
        <w:t>la detección es 100% determinista mediante motores especializados; la IA actúa exclusivamente como asistente de análisis de impacto y remediación.</w:t>
      </w:r>
    </w:p>
    <w:p w14:paraId="1A200E0B" w14:textId="77777777" w:rsidR="00416B41" w:rsidRPr="0071434C" w:rsidRDefault="00000000">
      <w:pPr>
        <w:pStyle w:val="Prrafodelista"/>
        <w:numPr>
          <w:ilvl w:val="0"/>
          <w:numId w:val="2"/>
        </w:numPr>
        <w:spacing w:after="90"/>
        <w:rPr>
          <w:rFonts w:ascii="Arial" w:hAnsi="Arial" w:cs="Arial"/>
        </w:rPr>
      </w:pPr>
      <w:r w:rsidRPr="0071434C">
        <w:rPr>
          <w:rFonts w:ascii="Arial" w:hAnsi="Arial" w:cs="Arial"/>
          <w:b/>
          <w:bCs/>
          <w:color w:val="1F3864"/>
          <w:sz w:val="22"/>
          <w:szCs w:val="22"/>
        </w:rPr>
        <w:t xml:space="preserve">Gobernanza con human-in-the-loop: </w:t>
      </w:r>
      <w:r w:rsidRPr="0071434C">
        <w:rPr>
          <w:rFonts w:ascii="Arial" w:hAnsi="Arial" w:cs="Arial"/>
          <w:sz w:val="22"/>
          <w:szCs w:val="22"/>
        </w:rPr>
        <w:t>la IA nunca auto-cierra ni auto-descarta vulnerabilidades; propone diagnósticos que deben ser validados por un auditor humano.</w:t>
      </w:r>
    </w:p>
    <w:p w14:paraId="5AC77876" w14:textId="77777777" w:rsidR="00416B41" w:rsidRPr="0071434C" w:rsidRDefault="00000000">
      <w:pPr>
        <w:pStyle w:val="Prrafodelista"/>
        <w:numPr>
          <w:ilvl w:val="0"/>
          <w:numId w:val="2"/>
        </w:numPr>
        <w:spacing w:after="90"/>
        <w:rPr>
          <w:rFonts w:ascii="Arial" w:hAnsi="Arial" w:cs="Arial"/>
        </w:rPr>
      </w:pPr>
      <w:r w:rsidRPr="0071434C">
        <w:rPr>
          <w:rFonts w:ascii="Arial" w:hAnsi="Arial" w:cs="Arial"/>
          <w:b/>
          <w:bCs/>
          <w:color w:val="1F3864"/>
          <w:sz w:val="22"/>
          <w:szCs w:val="22"/>
        </w:rPr>
        <w:t xml:space="preserve">Control perimetral móvil: </w:t>
      </w:r>
      <w:r w:rsidRPr="0071434C">
        <w:rPr>
          <w:rFonts w:ascii="Arial" w:hAnsi="Arial" w:cs="Arial"/>
          <w:sz w:val="22"/>
          <w:szCs w:val="22"/>
        </w:rPr>
        <w:t>traslada la toma de decisiones críticas (aprobación de excepciones, revisión de SLAs y bloqueos de emergencia) al teléfono del líder técnico mediante autenticación biométrica y notificaciones push inmediatas.</w:t>
      </w:r>
    </w:p>
    <w:p w14:paraId="3165371C" w14:textId="77777777" w:rsidR="00416B41" w:rsidRPr="0071434C" w:rsidRDefault="00000000">
      <w:pPr>
        <w:pStyle w:val="Ttulo1"/>
        <w:pBdr>
          <w:bottom w:val="single" w:sz="6" w:space="4" w:color="2E74B5"/>
        </w:pBdr>
        <w:spacing w:before="400" w:after="200"/>
        <w:rPr>
          <w:rFonts w:ascii="Arial" w:hAnsi="Arial" w:cs="Arial"/>
        </w:rPr>
      </w:pPr>
      <w:r w:rsidRPr="0071434C">
        <w:rPr>
          <w:rFonts w:ascii="Arial" w:hAnsi="Arial" w:cs="Arial"/>
          <w:b/>
          <w:bCs/>
          <w:color w:val="1F3864"/>
          <w:sz w:val="30"/>
          <w:szCs w:val="30"/>
        </w:rPr>
        <w:t>3. Matriz de Detección: ¿Quién Detecta el Código y Cuál es el Rol de la IA?</w:t>
      </w:r>
    </w:p>
    <w:p w14:paraId="13000AC3" w14:textId="77777777" w:rsidR="00416B41" w:rsidRPr="0071434C" w:rsidRDefault="00000000">
      <w:pPr>
        <w:spacing w:after="160" w:line="276" w:lineRule="auto"/>
        <w:rPr>
          <w:rFonts w:ascii="Arial" w:hAnsi="Arial" w:cs="Arial"/>
        </w:rPr>
      </w:pPr>
      <w:r w:rsidRPr="0071434C">
        <w:rPr>
          <w:rFonts w:ascii="Arial" w:hAnsi="Arial" w:cs="Arial"/>
          <w:sz w:val="22"/>
          <w:szCs w:val="22"/>
        </w:rPr>
        <w:t>Para garantizar rigor técnico ante auditorías, el sistema separa claramente qué componente ejecuta cada tarea.</w:t>
      </w:r>
    </w:p>
    <w:p w14:paraId="03A9894D" w14:textId="77777777" w:rsidR="00416B41" w:rsidRPr="0071434C" w:rsidRDefault="00000000">
      <w:pPr>
        <w:pStyle w:val="Ttulo2"/>
        <w:spacing w:before="300" w:after="150"/>
        <w:rPr>
          <w:rFonts w:ascii="Arial" w:hAnsi="Arial" w:cs="Arial"/>
        </w:rPr>
      </w:pPr>
      <w:r w:rsidRPr="0071434C">
        <w:rPr>
          <w:rFonts w:ascii="Arial" w:hAnsi="Arial" w:cs="Arial"/>
          <w:b/>
          <w:bCs/>
          <w:sz w:val="24"/>
          <w:szCs w:val="24"/>
        </w:rPr>
        <w:lastRenderedPageBreak/>
        <w:t>Flujo de detección y análisis</w:t>
      </w:r>
    </w:p>
    <w:p w14:paraId="1A04F3C4" w14:textId="77777777" w:rsidR="00416B41" w:rsidRPr="0071434C" w:rsidRDefault="00000000">
      <w:pPr>
        <w:shd w:val="clear" w:color="auto" w:fill="DDEBF7"/>
        <w:spacing w:before="200" w:after="60"/>
        <w:rPr>
          <w:rFonts w:ascii="Arial" w:hAnsi="Arial" w:cs="Arial"/>
        </w:rPr>
      </w:pPr>
      <w:r w:rsidRPr="0071434C">
        <w:rPr>
          <w:rFonts w:ascii="Arial" w:hAnsi="Arial" w:cs="Arial"/>
          <w:b/>
          <w:bCs/>
          <w:color w:val="1F3864"/>
          <w:sz w:val="22"/>
          <w:szCs w:val="22"/>
        </w:rPr>
        <w:t xml:space="preserve">  1. Repositorio Git</w:t>
      </w:r>
    </w:p>
    <w:p w14:paraId="4B0860CC" w14:textId="77777777" w:rsidR="00416B41" w:rsidRPr="0071434C" w:rsidRDefault="00000000">
      <w:pPr>
        <w:spacing w:after="70"/>
        <w:ind w:left="431"/>
        <w:rPr>
          <w:rFonts w:ascii="Arial" w:hAnsi="Arial" w:cs="Arial"/>
        </w:rPr>
      </w:pPr>
      <w:r w:rsidRPr="0071434C">
        <w:rPr>
          <w:rFonts w:ascii="Arial" w:hAnsi="Arial" w:cs="Arial"/>
          <w:sz w:val="21"/>
          <w:szCs w:val="21"/>
        </w:rPr>
        <w:t xml:space="preserve">• GitLeaks → Detección de secretos y API </w:t>
      </w:r>
      <w:proofErr w:type="spellStart"/>
      <w:r w:rsidRPr="0071434C">
        <w:rPr>
          <w:rFonts w:ascii="Arial" w:hAnsi="Arial" w:cs="Arial"/>
          <w:sz w:val="21"/>
          <w:szCs w:val="21"/>
        </w:rPr>
        <w:t>keys</w:t>
      </w:r>
      <w:proofErr w:type="spellEnd"/>
      <w:r w:rsidRPr="0071434C">
        <w:rPr>
          <w:rFonts w:ascii="Arial" w:hAnsi="Arial" w:cs="Arial"/>
          <w:sz w:val="21"/>
          <w:szCs w:val="21"/>
        </w:rPr>
        <w:t xml:space="preserve"> en commits</w:t>
      </w:r>
    </w:p>
    <w:p w14:paraId="1B764D99" w14:textId="77777777" w:rsidR="00416B41" w:rsidRPr="0071434C" w:rsidRDefault="00000000">
      <w:pPr>
        <w:spacing w:after="70"/>
        <w:ind w:left="431"/>
        <w:rPr>
          <w:rFonts w:ascii="Arial" w:hAnsi="Arial" w:cs="Arial"/>
        </w:rPr>
      </w:pPr>
      <w:r w:rsidRPr="0071434C">
        <w:rPr>
          <w:rFonts w:ascii="Arial" w:hAnsi="Arial" w:cs="Arial"/>
          <w:sz w:val="21"/>
          <w:szCs w:val="21"/>
        </w:rPr>
        <w:t>• Semgrep → SAST (patrones de código vulnerable / OWASP)</w:t>
      </w:r>
    </w:p>
    <w:p w14:paraId="248BB81B" w14:textId="77777777" w:rsidR="00416B41" w:rsidRPr="0071434C" w:rsidRDefault="00000000">
      <w:pPr>
        <w:spacing w:after="70"/>
        <w:ind w:left="431"/>
        <w:rPr>
          <w:rFonts w:ascii="Arial" w:hAnsi="Arial" w:cs="Arial"/>
        </w:rPr>
      </w:pPr>
      <w:r w:rsidRPr="0071434C">
        <w:rPr>
          <w:rFonts w:ascii="Arial" w:hAnsi="Arial" w:cs="Arial"/>
          <w:sz w:val="21"/>
          <w:szCs w:val="21"/>
        </w:rPr>
        <w:t>• Trivy → SCA / IaC (CVEs en librerías y Dockerfiles)</w:t>
      </w:r>
    </w:p>
    <w:p w14:paraId="1F22AF44" w14:textId="77777777" w:rsidR="00416B41" w:rsidRPr="0071434C" w:rsidRDefault="00000000">
      <w:pPr>
        <w:spacing w:after="70"/>
        <w:ind w:left="431"/>
        <w:rPr>
          <w:rFonts w:ascii="Arial" w:hAnsi="Arial" w:cs="Arial"/>
        </w:rPr>
      </w:pPr>
      <w:r w:rsidRPr="0071434C">
        <w:rPr>
          <w:rFonts w:ascii="Arial" w:hAnsi="Arial" w:cs="Arial"/>
          <w:sz w:val="21"/>
          <w:szCs w:val="21"/>
        </w:rPr>
        <w:t>• OWASP ZAP → DAST (inyección y fallos en endpoints HTTP)</w:t>
      </w:r>
    </w:p>
    <w:p w14:paraId="10AA73CF" w14:textId="77777777" w:rsidR="00416B41" w:rsidRPr="0071434C" w:rsidRDefault="00000000">
      <w:pPr>
        <w:shd w:val="clear" w:color="auto" w:fill="DDEBF7"/>
        <w:spacing w:before="200" w:after="60"/>
        <w:rPr>
          <w:rFonts w:ascii="Arial" w:hAnsi="Arial" w:cs="Arial"/>
        </w:rPr>
      </w:pPr>
      <w:r w:rsidRPr="0071434C">
        <w:rPr>
          <w:rFonts w:ascii="Arial" w:hAnsi="Arial" w:cs="Arial"/>
          <w:b/>
          <w:bCs/>
          <w:color w:val="1F3864"/>
          <w:sz w:val="22"/>
          <w:szCs w:val="22"/>
        </w:rPr>
        <w:t xml:space="preserve">  2. Worker de normalización</w:t>
      </w:r>
    </w:p>
    <w:p w14:paraId="76299733" w14:textId="77777777" w:rsidR="00416B41" w:rsidRPr="0071434C" w:rsidRDefault="00000000">
      <w:pPr>
        <w:spacing w:after="70"/>
        <w:ind w:left="431"/>
        <w:rPr>
          <w:rFonts w:ascii="Arial" w:hAnsi="Arial" w:cs="Arial"/>
        </w:rPr>
      </w:pPr>
      <w:r w:rsidRPr="0071434C">
        <w:rPr>
          <w:rFonts w:ascii="Arial" w:hAnsi="Arial" w:cs="Arial"/>
          <w:sz w:val="21"/>
          <w:szCs w:val="21"/>
        </w:rPr>
        <w:t>• Unifica las salidas en un JSON común</w:t>
      </w:r>
    </w:p>
    <w:p w14:paraId="349A78EA" w14:textId="77777777" w:rsidR="00416B41" w:rsidRPr="0071434C" w:rsidRDefault="00000000">
      <w:pPr>
        <w:shd w:val="clear" w:color="auto" w:fill="DDEBF7"/>
        <w:spacing w:before="200" w:after="60"/>
        <w:rPr>
          <w:rFonts w:ascii="Arial" w:hAnsi="Arial" w:cs="Arial"/>
        </w:rPr>
      </w:pPr>
      <w:r w:rsidRPr="0071434C">
        <w:rPr>
          <w:rFonts w:ascii="Arial" w:hAnsi="Arial" w:cs="Arial"/>
          <w:b/>
          <w:bCs/>
          <w:color w:val="1F3864"/>
          <w:sz w:val="22"/>
          <w:szCs w:val="22"/>
        </w:rPr>
        <w:t xml:space="preserve">  3. Agente de IA (LLM </w:t>
      </w:r>
      <w:proofErr w:type="spellStart"/>
      <w:r w:rsidRPr="0071434C">
        <w:rPr>
          <w:rFonts w:ascii="Arial" w:hAnsi="Arial" w:cs="Arial"/>
          <w:b/>
          <w:bCs/>
          <w:color w:val="1F3864"/>
          <w:sz w:val="22"/>
          <w:szCs w:val="22"/>
        </w:rPr>
        <w:t>Router</w:t>
      </w:r>
      <w:proofErr w:type="spellEnd"/>
      <w:r w:rsidRPr="0071434C">
        <w:rPr>
          <w:rFonts w:ascii="Arial" w:hAnsi="Arial" w:cs="Arial"/>
          <w:b/>
          <w:bCs/>
          <w:color w:val="1F3864"/>
          <w:sz w:val="22"/>
          <w:szCs w:val="22"/>
        </w:rPr>
        <w:t>)</w:t>
      </w:r>
    </w:p>
    <w:p w14:paraId="251D6660" w14:textId="77777777" w:rsidR="00416B41" w:rsidRPr="0071434C" w:rsidRDefault="00000000">
      <w:pPr>
        <w:spacing w:after="70"/>
        <w:ind w:left="431"/>
        <w:rPr>
          <w:rFonts w:ascii="Arial" w:hAnsi="Arial" w:cs="Arial"/>
        </w:rPr>
      </w:pPr>
      <w:r w:rsidRPr="0071434C">
        <w:rPr>
          <w:rFonts w:ascii="Arial" w:hAnsi="Arial" w:cs="Arial"/>
          <w:sz w:val="21"/>
          <w:szCs w:val="21"/>
        </w:rPr>
        <w:t>• Evalúa alcanzabilidad del código</w:t>
      </w:r>
    </w:p>
    <w:p w14:paraId="73ED41A5" w14:textId="77777777" w:rsidR="00416B41" w:rsidRPr="0071434C" w:rsidRDefault="00000000">
      <w:pPr>
        <w:spacing w:after="70"/>
        <w:ind w:left="431"/>
        <w:rPr>
          <w:rFonts w:ascii="Arial" w:hAnsi="Arial" w:cs="Arial"/>
        </w:rPr>
      </w:pPr>
      <w:r w:rsidRPr="0071434C">
        <w:rPr>
          <w:rFonts w:ascii="Arial" w:hAnsi="Arial" w:cs="Arial"/>
          <w:sz w:val="21"/>
          <w:szCs w:val="21"/>
        </w:rPr>
        <w:t>• Asigna severidad contextual</w:t>
      </w:r>
    </w:p>
    <w:p w14:paraId="6FFC4FCC" w14:textId="77777777" w:rsidR="00416B41" w:rsidRPr="0071434C" w:rsidRDefault="00000000">
      <w:pPr>
        <w:spacing w:after="70"/>
        <w:ind w:left="431"/>
        <w:rPr>
          <w:rFonts w:ascii="Arial" w:hAnsi="Arial" w:cs="Arial"/>
        </w:rPr>
      </w:pPr>
      <w:r w:rsidRPr="0071434C">
        <w:rPr>
          <w:rFonts w:ascii="Arial" w:hAnsi="Arial" w:cs="Arial"/>
          <w:sz w:val="21"/>
          <w:szCs w:val="21"/>
        </w:rPr>
        <w:t>• Redacta propuesta de parche / remediación</w:t>
      </w:r>
    </w:p>
    <w:p w14:paraId="3D8E44DD" w14:textId="77777777" w:rsidR="00416B41" w:rsidRPr="0071434C" w:rsidRDefault="00000000">
      <w:pPr>
        <w:shd w:val="clear" w:color="auto" w:fill="DDEBF7"/>
        <w:spacing w:before="200" w:after="60"/>
        <w:rPr>
          <w:rFonts w:ascii="Arial" w:hAnsi="Arial" w:cs="Arial"/>
        </w:rPr>
      </w:pPr>
      <w:r w:rsidRPr="0071434C">
        <w:rPr>
          <w:rFonts w:ascii="Arial" w:hAnsi="Arial" w:cs="Arial"/>
          <w:b/>
          <w:bCs/>
          <w:color w:val="1F3864"/>
          <w:sz w:val="22"/>
          <w:szCs w:val="22"/>
        </w:rPr>
        <w:t xml:space="preserve">  4. PostgreSQL y Dashboards</w:t>
      </w:r>
    </w:p>
    <w:p w14:paraId="15F4A097" w14:textId="77777777" w:rsidR="00416B41" w:rsidRPr="0071434C" w:rsidRDefault="00000000">
      <w:pPr>
        <w:spacing w:after="70"/>
        <w:ind w:left="431"/>
        <w:rPr>
          <w:rFonts w:ascii="Arial" w:hAnsi="Arial" w:cs="Arial"/>
        </w:rPr>
      </w:pPr>
      <w:r w:rsidRPr="0071434C">
        <w:rPr>
          <w:rFonts w:ascii="Arial" w:hAnsi="Arial" w:cs="Arial"/>
          <w:sz w:val="21"/>
          <w:szCs w:val="21"/>
        </w:rPr>
        <w:t>• Persistencia de hallazgos y visualización</w:t>
      </w:r>
    </w:p>
    <w:p w14:paraId="64C16D36" w14:textId="77777777" w:rsidR="00416B41" w:rsidRPr="0071434C" w:rsidRDefault="00000000">
      <w:pPr>
        <w:pStyle w:val="Ttulo2"/>
        <w:spacing w:before="300" w:after="150"/>
        <w:rPr>
          <w:rFonts w:ascii="Arial" w:hAnsi="Arial" w:cs="Arial"/>
        </w:rPr>
      </w:pPr>
      <w:r w:rsidRPr="0071434C">
        <w:rPr>
          <w:rFonts w:ascii="Arial" w:hAnsi="Arial" w:cs="Arial"/>
          <w:b/>
          <w:bCs/>
          <w:sz w:val="24"/>
          <w:szCs w:val="24"/>
        </w:rPr>
        <w:t>Motores de detección determinista (capa base)</w:t>
      </w:r>
    </w:p>
    <w:p w14:paraId="6B879ED6" w14:textId="77777777" w:rsidR="00416B41" w:rsidRPr="0071434C" w:rsidRDefault="00000000">
      <w:pPr>
        <w:pStyle w:val="Prrafodelista"/>
        <w:numPr>
          <w:ilvl w:val="0"/>
          <w:numId w:val="2"/>
        </w:numPr>
        <w:spacing w:after="90"/>
        <w:rPr>
          <w:rFonts w:ascii="Arial" w:hAnsi="Arial" w:cs="Arial"/>
        </w:rPr>
      </w:pPr>
      <w:r w:rsidRPr="0071434C">
        <w:rPr>
          <w:rFonts w:ascii="Arial" w:hAnsi="Arial" w:cs="Arial"/>
          <w:b/>
          <w:bCs/>
          <w:color w:val="1F3864"/>
          <w:sz w:val="22"/>
          <w:szCs w:val="22"/>
        </w:rPr>
        <w:t xml:space="preserve">Semgrep (SAST): </w:t>
      </w:r>
      <w:r w:rsidRPr="0071434C">
        <w:rPr>
          <w:rFonts w:ascii="Arial" w:hAnsi="Arial" w:cs="Arial"/>
          <w:sz w:val="22"/>
          <w:szCs w:val="22"/>
        </w:rPr>
        <w:t>analiza el árbol sintáctico abstracto (AST) del código fuente buscando fallos lógicos, inyecciones SQL/XSS, autenticación rota y patrones inseguros alineados a OWASP Top 10.</w:t>
      </w:r>
    </w:p>
    <w:p w14:paraId="4CE55900" w14:textId="77777777" w:rsidR="00416B41" w:rsidRPr="0071434C" w:rsidRDefault="00000000">
      <w:pPr>
        <w:pStyle w:val="Prrafodelista"/>
        <w:numPr>
          <w:ilvl w:val="0"/>
          <w:numId w:val="2"/>
        </w:numPr>
        <w:spacing w:after="90"/>
        <w:rPr>
          <w:rFonts w:ascii="Arial" w:hAnsi="Arial" w:cs="Arial"/>
        </w:rPr>
      </w:pPr>
      <w:r w:rsidRPr="0071434C">
        <w:rPr>
          <w:rFonts w:ascii="Arial" w:hAnsi="Arial" w:cs="Arial"/>
          <w:b/>
          <w:bCs/>
          <w:color w:val="1F3864"/>
          <w:sz w:val="22"/>
          <w:szCs w:val="22"/>
        </w:rPr>
        <w:t xml:space="preserve">Trivy (SCA &amp; IaC): </w:t>
      </w:r>
      <w:r w:rsidRPr="0071434C">
        <w:rPr>
          <w:rFonts w:ascii="Arial" w:hAnsi="Arial" w:cs="Arial"/>
          <w:sz w:val="22"/>
          <w:szCs w:val="22"/>
        </w:rPr>
        <w:t>escanea el manifiesto de dependencias (requirements.txt, package.json, etc.) contra bases de datos de CVEs/NVD y audita archivos de infraestructura como código (Dockerfile, manifiestos de Kubernetes).</w:t>
      </w:r>
    </w:p>
    <w:p w14:paraId="15942626" w14:textId="77777777" w:rsidR="00416B41" w:rsidRPr="0071434C" w:rsidRDefault="00000000">
      <w:pPr>
        <w:pStyle w:val="Prrafodelista"/>
        <w:numPr>
          <w:ilvl w:val="0"/>
          <w:numId w:val="2"/>
        </w:numPr>
        <w:spacing w:after="90"/>
        <w:rPr>
          <w:rFonts w:ascii="Arial" w:hAnsi="Arial" w:cs="Arial"/>
        </w:rPr>
      </w:pPr>
      <w:r w:rsidRPr="0071434C">
        <w:rPr>
          <w:rFonts w:ascii="Arial" w:hAnsi="Arial" w:cs="Arial"/>
          <w:b/>
          <w:bCs/>
          <w:color w:val="1F3864"/>
          <w:sz w:val="22"/>
          <w:szCs w:val="22"/>
        </w:rPr>
        <w:t xml:space="preserve">GitLeaks (detección de secretos): </w:t>
      </w:r>
      <w:r w:rsidRPr="0071434C">
        <w:rPr>
          <w:rFonts w:ascii="Arial" w:hAnsi="Arial" w:cs="Arial"/>
          <w:sz w:val="22"/>
          <w:szCs w:val="22"/>
        </w:rPr>
        <w:t>analiza el historial de commits y código fuente mediante expresiones regulares y análisis de entropía para identificar tokens, claves privadas y credenciales expuestas.</w:t>
      </w:r>
    </w:p>
    <w:p w14:paraId="6F884EC7" w14:textId="77777777" w:rsidR="00416B41" w:rsidRPr="0071434C" w:rsidRDefault="00000000">
      <w:pPr>
        <w:pStyle w:val="Prrafodelista"/>
        <w:numPr>
          <w:ilvl w:val="0"/>
          <w:numId w:val="2"/>
        </w:numPr>
        <w:spacing w:after="90"/>
        <w:rPr>
          <w:rFonts w:ascii="Arial" w:hAnsi="Arial" w:cs="Arial"/>
        </w:rPr>
      </w:pPr>
      <w:r w:rsidRPr="0071434C">
        <w:rPr>
          <w:rFonts w:ascii="Arial" w:hAnsi="Arial" w:cs="Arial"/>
          <w:b/>
          <w:bCs/>
          <w:color w:val="1F3864"/>
          <w:sz w:val="22"/>
          <w:szCs w:val="22"/>
        </w:rPr>
        <w:t xml:space="preserve">OWASP ZAP (DAST): </w:t>
      </w:r>
      <w:r w:rsidRPr="0071434C">
        <w:rPr>
          <w:rFonts w:ascii="Arial" w:hAnsi="Arial" w:cs="Arial"/>
          <w:sz w:val="22"/>
          <w:szCs w:val="22"/>
        </w:rPr>
        <w:t xml:space="preserve">ejecuta pruebas dinámicas contra las </w:t>
      </w:r>
      <w:proofErr w:type="spellStart"/>
      <w:r w:rsidRPr="0071434C">
        <w:rPr>
          <w:rFonts w:ascii="Arial" w:hAnsi="Arial" w:cs="Arial"/>
          <w:sz w:val="22"/>
          <w:szCs w:val="22"/>
        </w:rPr>
        <w:t>APIs</w:t>
      </w:r>
      <w:proofErr w:type="spellEnd"/>
      <w:r w:rsidRPr="0071434C">
        <w:rPr>
          <w:rFonts w:ascii="Arial" w:hAnsi="Arial" w:cs="Arial"/>
          <w:sz w:val="22"/>
          <w:szCs w:val="22"/>
        </w:rPr>
        <w:t xml:space="preserve"> para validar encabezados HTTP inseguros, políticas CORS permisivas y endpoints sin autenticación.</w:t>
      </w:r>
    </w:p>
    <w:p w14:paraId="5B43135D" w14:textId="77777777" w:rsidR="00416B41" w:rsidRPr="0071434C" w:rsidRDefault="00000000">
      <w:pPr>
        <w:pStyle w:val="Ttulo2"/>
        <w:spacing w:before="300" w:after="150"/>
        <w:rPr>
          <w:rFonts w:ascii="Arial" w:hAnsi="Arial" w:cs="Arial"/>
        </w:rPr>
      </w:pPr>
      <w:r w:rsidRPr="0071434C">
        <w:rPr>
          <w:rFonts w:ascii="Arial" w:hAnsi="Arial" w:cs="Arial"/>
          <w:b/>
          <w:bCs/>
          <w:sz w:val="24"/>
          <w:szCs w:val="24"/>
        </w:rPr>
        <w:t>Capa agéntica de IA (triaje asistido y contexto)</w:t>
      </w:r>
    </w:p>
    <w:p w14:paraId="374AC65B" w14:textId="77777777" w:rsidR="00416B41" w:rsidRPr="0071434C" w:rsidRDefault="00000000">
      <w:pPr>
        <w:spacing w:after="160" w:line="276" w:lineRule="auto"/>
        <w:rPr>
          <w:rFonts w:ascii="Arial" w:hAnsi="Arial" w:cs="Arial"/>
        </w:rPr>
      </w:pPr>
      <w:r w:rsidRPr="0071434C">
        <w:rPr>
          <w:rFonts w:ascii="Arial" w:hAnsi="Arial" w:cs="Arial"/>
          <w:sz w:val="22"/>
          <w:szCs w:val="22"/>
        </w:rPr>
        <w:t xml:space="preserve">El módulo de IA no reemplaza a los escáneres; procesa el </w:t>
      </w:r>
      <w:proofErr w:type="spellStart"/>
      <w:r w:rsidRPr="0071434C">
        <w:rPr>
          <w:rFonts w:ascii="Arial" w:hAnsi="Arial" w:cs="Arial"/>
          <w:sz w:val="22"/>
          <w:szCs w:val="22"/>
        </w:rPr>
        <w:t>payload</w:t>
      </w:r>
      <w:proofErr w:type="spellEnd"/>
      <w:r w:rsidRPr="0071434C">
        <w:rPr>
          <w:rFonts w:ascii="Arial" w:hAnsi="Arial" w:cs="Arial"/>
          <w:sz w:val="22"/>
          <w:szCs w:val="22"/>
        </w:rPr>
        <w:t xml:space="preserve"> unificado devuelto por los motores para:</w:t>
      </w:r>
    </w:p>
    <w:p w14:paraId="4AA8564B" w14:textId="77777777" w:rsidR="00416B41" w:rsidRPr="0071434C" w:rsidRDefault="00000000">
      <w:pPr>
        <w:pStyle w:val="Prrafodelista"/>
        <w:numPr>
          <w:ilvl w:val="0"/>
          <w:numId w:val="2"/>
        </w:numPr>
        <w:spacing w:after="90"/>
        <w:rPr>
          <w:rFonts w:ascii="Arial" w:hAnsi="Arial" w:cs="Arial"/>
        </w:rPr>
      </w:pPr>
      <w:r w:rsidRPr="0071434C">
        <w:rPr>
          <w:rFonts w:ascii="Arial" w:hAnsi="Arial" w:cs="Arial"/>
          <w:sz w:val="22"/>
          <w:szCs w:val="22"/>
        </w:rPr>
        <w:t>Analizar alcanzabilidad: evalúa si la función o dependencia vulnerable es realmente invocada en el flujo de ejecución de la aplicación.</w:t>
      </w:r>
    </w:p>
    <w:p w14:paraId="37034ECB" w14:textId="77777777" w:rsidR="00416B41" w:rsidRPr="0071434C" w:rsidRDefault="00000000">
      <w:pPr>
        <w:pStyle w:val="Prrafodelista"/>
        <w:numPr>
          <w:ilvl w:val="0"/>
          <w:numId w:val="2"/>
        </w:numPr>
        <w:spacing w:after="90"/>
        <w:rPr>
          <w:rFonts w:ascii="Arial" w:hAnsi="Arial" w:cs="Arial"/>
        </w:rPr>
      </w:pPr>
      <w:r w:rsidRPr="0071434C">
        <w:rPr>
          <w:rFonts w:ascii="Arial" w:hAnsi="Arial" w:cs="Arial"/>
          <w:sz w:val="22"/>
          <w:szCs w:val="22"/>
        </w:rPr>
        <w:t>Filtrar sospechas de falsos positivos: revisa el contexto del código y emite un índice de confianza sobre el hallazgo.</w:t>
      </w:r>
    </w:p>
    <w:p w14:paraId="14F28988" w14:textId="77777777" w:rsidR="00416B41" w:rsidRPr="0071434C" w:rsidRDefault="00000000">
      <w:pPr>
        <w:pStyle w:val="Prrafodelista"/>
        <w:numPr>
          <w:ilvl w:val="0"/>
          <w:numId w:val="2"/>
        </w:numPr>
        <w:spacing w:after="90"/>
        <w:rPr>
          <w:rFonts w:ascii="Arial" w:hAnsi="Arial" w:cs="Arial"/>
        </w:rPr>
      </w:pPr>
      <w:r w:rsidRPr="0071434C">
        <w:rPr>
          <w:rFonts w:ascii="Arial" w:hAnsi="Arial" w:cs="Arial"/>
          <w:sz w:val="22"/>
          <w:szCs w:val="22"/>
        </w:rPr>
        <w:t>Generar código de remediación: redacta propuestas de refactorización o parches listos para revisión.</w:t>
      </w:r>
    </w:p>
    <w:p w14:paraId="3792DA55" w14:textId="77777777" w:rsidR="00416B41" w:rsidRPr="0071434C" w:rsidRDefault="00000000">
      <w:pPr>
        <w:pStyle w:val="Prrafodelista"/>
        <w:numPr>
          <w:ilvl w:val="0"/>
          <w:numId w:val="2"/>
        </w:numPr>
        <w:spacing w:after="90"/>
        <w:rPr>
          <w:rFonts w:ascii="Arial" w:hAnsi="Arial" w:cs="Arial"/>
        </w:rPr>
      </w:pPr>
      <w:r w:rsidRPr="0071434C">
        <w:rPr>
          <w:rFonts w:ascii="Arial" w:hAnsi="Arial" w:cs="Arial"/>
          <w:sz w:val="22"/>
          <w:szCs w:val="22"/>
        </w:rPr>
        <w:t>Traducir a impacto de negocio: convierte descripciones técnicas de CVEs en explicaciones ejecutivas orientadas al impacto operativo y financiero.</w:t>
      </w:r>
    </w:p>
    <w:p w14:paraId="17CEC400" w14:textId="77777777" w:rsidR="00416B41" w:rsidRPr="0071434C" w:rsidRDefault="00000000">
      <w:pPr>
        <w:pStyle w:val="Ttulo1"/>
        <w:pBdr>
          <w:bottom w:val="single" w:sz="6" w:space="4" w:color="2E74B5"/>
        </w:pBdr>
        <w:spacing w:before="400" w:after="200"/>
        <w:rPr>
          <w:rFonts w:ascii="Arial" w:hAnsi="Arial" w:cs="Arial"/>
        </w:rPr>
      </w:pPr>
      <w:r w:rsidRPr="0071434C">
        <w:rPr>
          <w:rFonts w:ascii="Arial" w:hAnsi="Arial" w:cs="Arial"/>
          <w:b/>
          <w:bCs/>
          <w:color w:val="1F3864"/>
          <w:sz w:val="30"/>
          <w:szCs w:val="30"/>
        </w:rPr>
        <w:t>4. Desglose de Herramientas por Capa Tecnológica</w:t>
      </w:r>
    </w:p>
    <w:p w14:paraId="7241F4A9" w14:textId="77777777" w:rsidR="00416B41" w:rsidRPr="0071434C" w:rsidRDefault="00000000">
      <w:pPr>
        <w:pStyle w:val="Ttulo2"/>
        <w:spacing w:before="300" w:after="150"/>
        <w:rPr>
          <w:rFonts w:ascii="Arial" w:hAnsi="Arial" w:cs="Arial"/>
        </w:rPr>
      </w:pPr>
      <w:r w:rsidRPr="0071434C">
        <w:rPr>
          <w:rFonts w:ascii="Arial" w:hAnsi="Arial" w:cs="Arial"/>
          <w:b/>
          <w:bCs/>
          <w:sz w:val="24"/>
          <w:szCs w:val="24"/>
        </w:rPr>
        <w:lastRenderedPageBreak/>
        <w:t xml:space="preserve">Backend </w:t>
      </w:r>
      <w:proofErr w:type="spellStart"/>
      <w:r w:rsidRPr="0071434C">
        <w:rPr>
          <w:rFonts w:ascii="Arial" w:hAnsi="Arial" w:cs="Arial"/>
          <w:b/>
          <w:bCs/>
          <w:sz w:val="24"/>
          <w:szCs w:val="24"/>
        </w:rPr>
        <w:t>core</w:t>
      </w:r>
      <w:proofErr w:type="spellEnd"/>
      <w:r w:rsidRPr="0071434C">
        <w:rPr>
          <w:rFonts w:ascii="Arial" w:hAnsi="Arial" w:cs="Arial"/>
          <w:b/>
          <w:bCs/>
          <w:sz w:val="24"/>
          <w:szCs w:val="24"/>
        </w:rPr>
        <w:t xml:space="preserve"> y servicios de API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416B41" w:rsidRPr="0071434C" w14:paraId="5458F469" w14:textId="77777777">
        <w:tblPrEx>
          <w:tblCellMar>
            <w:top w:w="0" w:type="dxa"/>
            <w:bottom w:w="0" w:type="dxa"/>
          </w:tblCellMar>
        </w:tblPrEx>
        <w:tc>
          <w:tcPr>
            <w:tcW w:w="3000" w:type="dxa"/>
            <w:shd w:val="clear" w:color="auto" w:fill="1F3864"/>
            <w:tcMar>
              <w:top w:w="80" w:type="dxa"/>
              <w:left w:w="100" w:type="dxa"/>
              <w:bottom w:w="80" w:type="dxa"/>
              <w:right w:w="100" w:type="dxa"/>
            </w:tcMar>
            <w:vAlign w:val="center"/>
          </w:tcPr>
          <w:p w14:paraId="6753EE3B" w14:textId="77777777" w:rsidR="00416B41" w:rsidRPr="0071434C" w:rsidRDefault="00000000">
            <w:pPr>
              <w:rPr>
                <w:rFonts w:ascii="Arial" w:hAnsi="Arial" w:cs="Arial"/>
              </w:rPr>
            </w:pPr>
            <w:r w:rsidRPr="0071434C">
              <w:rPr>
                <w:rFonts w:ascii="Arial" w:hAnsi="Arial" w:cs="Arial"/>
                <w:b/>
                <w:bCs/>
                <w:color w:val="FFFFFF"/>
              </w:rPr>
              <w:t>Herramienta</w:t>
            </w:r>
          </w:p>
        </w:tc>
        <w:tc>
          <w:tcPr>
            <w:tcW w:w="6500" w:type="dxa"/>
            <w:shd w:val="clear" w:color="auto" w:fill="1F3864"/>
            <w:tcMar>
              <w:top w:w="80" w:type="dxa"/>
              <w:left w:w="100" w:type="dxa"/>
              <w:bottom w:w="80" w:type="dxa"/>
              <w:right w:w="100" w:type="dxa"/>
            </w:tcMar>
            <w:vAlign w:val="center"/>
          </w:tcPr>
          <w:p w14:paraId="19E72A92" w14:textId="77777777" w:rsidR="00416B41" w:rsidRPr="0071434C" w:rsidRDefault="00000000">
            <w:pPr>
              <w:rPr>
                <w:rFonts w:ascii="Arial" w:hAnsi="Arial" w:cs="Arial"/>
              </w:rPr>
            </w:pPr>
            <w:r w:rsidRPr="0071434C">
              <w:rPr>
                <w:rFonts w:ascii="Arial" w:hAnsi="Arial" w:cs="Arial"/>
                <w:b/>
                <w:bCs/>
                <w:color w:val="FFFFFF"/>
              </w:rPr>
              <w:t>Función</w:t>
            </w:r>
          </w:p>
        </w:tc>
      </w:tr>
      <w:tr w:rsidR="00416B41" w:rsidRPr="0071434C" w14:paraId="063D8D16"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73A54405" w14:textId="77777777" w:rsidR="00416B41" w:rsidRPr="0071434C" w:rsidRDefault="00000000">
            <w:pPr>
              <w:rPr>
                <w:rFonts w:ascii="Arial" w:hAnsi="Arial" w:cs="Arial"/>
              </w:rPr>
            </w:pPr>
            <w:r w:rsidRPr="0071434C">
              <w:rPr>
                <w:rFonts w:ascii="Arial" w:hAnsi="Arial" w:cs="Arial"/>
                <w:color w:val="000000"/>
              </w:rPr>
              <w:t>Python 3.12 + FastAPI</w:t>
            </w:r>
          </w:p>
        </w:tc>
        <w:tc>
          <w:tcPr>
            <w:tcW w:w="6500" w:type="dxa"/>
            <w:shd w:val="clear" w:color="auto" w:fill="FFFFFF"/>
            <w:tcMar>
              <w:top w:w="80" w:type="dxa"/>
              <w:left w:w="100" w:type="dxa"/>
              <w:bottom w:w="80" w:type="dxa"/>
              <w:right w:w="100" w:type="dxa"/>
            </w:tcMar>
            <w:vAlign w:val="center"/>
          </w:tcPr>
          <w:p w14:paraId="262F78E4" w14:textId="77777777" w:rsidR="00416B41" w:rsidRPr="0071434C" w:rsidRDefault="00000000">
            <w:pPr>
              <w:rPr>
                <w:rFonts w:ascii="Arial" w:hAnsi="Arial" w:cs="Arial"/>
              </w:rPr>
            </w:pPr>
            <w:r w:rsidRPr="0071434C">
              <w:rPr>
                <w:rFonts w:ascii="Arial" w:hAnsi="Arial" w:cs="Arial"/>
                <w:color w:val="000000"/>
              </w:rPr>
              <w:t xml:space="preserve">Núcleo asíncrono para enrutamiento REST, validación con </w:t>
            </w:r>
            <w:proofErr w:type="spellStart"/>
            <w:r w:rsidRPr="0071434C">
              <w:rPr>
                <w:rFonts w:ascii="Arial" w:hAnsi="Arial" w:cs="Arial"/>
                <w:color w:val="000000"/>
              </w:rPr>
              <w:t>Pydantic</w:t>
            </w:r>
            <w:proofErr w:type="spellEnd"/>
            <w:r w:rsidRPr="0071434C">
              <w:rPr>
                <w:rFonts w:ascii="Arial" w:hAnsi="Arial" w:cs="Arial"/>
                <w:color w:val="000000"/>
              </w:rPr>
              <w:t xml:space="preserve"> v2 y control de acceso RBAC</w:t>
            </w:r>
          </w:p>
        </w:tc>
      </w:tr>
      <w:tr w:rsidR="00416B41" w:rsidRPr="0071434C" w14:paraId="0EB6B8C5"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025A38B2" w14:textId="77777777" w:rsidR="00416B41" w:rsidRPr="0071434C" w:rsidRDefault="00000000">
            <w:pPr>
              <w:rPr>
                <w:rFonts w:ascii="Arial" w:hAnsi="Arial" w:cs="Arial"/>
              </w:rPr>
            </w:pPr>
            <w:r w:rsidRPr="0071434C">
              <w:rPr>
                <w:rFonts w:ascii="Arial" w:hAnsi="Arial" w:cs="Arial"/>
                <w:color w:val="000000"/>
              </w:rPr>
              <w:t>PostgreSQL 16</w:t>
            </w:r>
          </w:p>
        </w:tc>
        <w:tc>
          <w:tcPr>
            <w:tcW w:w="6500" w:type="dxa"/>
            <w:shd w:val="clear" w:color="auto" w:fill="F2F2F2"/>
            <w:tcMar>
              <w:top w:w="80" w:type="dxa"/>
              <w:left w:w="100" w:type="dxa"/>
              <w:bottom w:w="80" w:type="dxa"/>
              <w:right w:w="100" w:type="dxa"/>
            </w:tcMar>
            <w:vAlign w:val="center"/>
          </w:tcPr>
          <w:p w14:paraId="5A3DC4E0" w14:textId="77777777" w:rsidR="00416B41" w:rsidRPr="0071434C" w:rsidRDefault="00000000">
            <w:pPr>
              <w:rPr>
                <w:rFonts w:ascii="Arial" w:hAnsi="Arial" w:cs="Arial"/>
              </w:rPr>
            </w:pPr>
            <w:r w:rsidRPr="0071434C">
              <w:rPr>
                <w:rFonts w:ascii="Arial" w:hAnsi="Arial" w:cs="Arial"/>
                <w:color w:val="000000"/>
              </w:rPr>
              <w:t>Persistencia de usuarios, repositorios, auditorías y hallazgos (UUIDv4, campos JSONB)</w:t>
            </w:r>
          </w:p>
        </w:tc>
      </w:tr>
      <w:tr w:rsidR="00416B41" w:rsidRPr="0071434C" w14:paraId="3D8E2140"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12DB1D8F" w14:textId="77777777" w:rsidR="00416B41" w:rsidRPr="0071434C" w:rsidRDefault="00000000">
            <w:pPr>
              <w:rPr>
                <w:rFonts w:ascii="Arial" w:hAnsi="Arial" w:cs="Arial"/>
              </w:rPr>
            </w:pPr>
            <w:proofErr w:type="spellStart"/>
            <w:r w:rsidRPr="0071434C">
              <w:rPr>
                <w:rFonts w:ascii="Arial" w:hAnsi="Arial" w:cs="Arial"/>
                <w:color w:val="000000"/>
              </w:rPr>
              <w:t>Alembic</w:t>
            </w:r>
            <w:proofErr w:type="spellEnd"/>
          </w:p>
        </w:tc>
        <w:tc>
          <w:tcPr>
            <w:tcW w:w="6500" w:type="dxa"/>
            <w:shd w:val="clear" w:color="auto" w:fill="FFFFFF"/>
            <w:tcMar>
              <w:top w:w="80" w:type="dxa"/>
              <w:left w:w="100" w:type="dxa"/>
              <w:bottom w:w="80" w:type="dxa"/>
              <w:right w:w="100" w:type="dxa"/>
            </w:tcMar>
            <w:vAlign w:val="center"/>
          </w:tcPr>
          <w:p w14:paraId="7B09AF11" w14:textId="77777777" w:rsidR="00416B41" w:rsidRPr="0071434C" w:rsidRDefault="00000000">
            <w:pPr>
              <w:rPr>
                <w:rFonts w:ascii="Arial" w:hAnsi="Arial" w:cs="Arial"/>
              </w:rPr>
            </w:pPr>
            <w:r w:rsidRPr="0071434C">
              <w:rPr>
                <w:rFonts w:ascii="Arial" w:hAnsi="Arial" w:cs="Arial"/>
                <w:color w:val="000000"/>
              </w:rPr>
              <w:t>Gestor de migraciones declarativas y versionadas del esquema de base de datos</w:t>
            </w:r>
          </w:p>
        </w:tc>
      </w:tr>
      <w:tr w:rsidR="00416B41" w:rsidRPr="0071434C" w14:paraId="4DDE7590"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109E7AAE" w14:textId="77777777" w:rsidR="00416B41" w:rsidRPr="0071434C" w:rsidRDefault="00000000">
            <w:pPr>
              <w:rPr>
                <w:rFonts w:ascii="Arial" w:hAnsi="Arial" w:cs="Arial"/>
              </w:rPr>
            </w:pPr>
            <w:r w:rsidRPr="0071434C">
              <w:rPr>
                <w:rFonts w:ascii="Arial" w:hAnsi="Arial" w:cs="Arial"/>
                <w:color w:val="000000"/>
              </w:rPr>
              <w:t>Redis + ARQ</w:t>
            </w:r>
          </w:p>
        </w:tc>
        <w:tc>
          <w:tcPr>
            <w:tcW w:w="6500" w:type="dxa"/>
            <w:shd w:val="clear" w:color="auto" w:fill="F2F2F2"/>
            <w:tcMar>
              <w:top w:w="80" w:type="dxa"/>
              <w:left w:w="100" w:type="dxa"/>
              <w:bottom w:w="80" w:type="dxa"/>
              <w:right w:w="100" w:type="dxa"/>
            </w:tcMar>
            <w:vAlign w:val="center"/>
          </w:tcPr>
          <w:p w14:paraId="2AD5244D" w14:textId="77777777" w:rsidR="00416B41" w:rsidRPr="0071434C" w:rsidRDefault="00000000">
            <w:pPr>
              <w:rPr>
                <w:rFonts w:ascii="Arial" w:hAnsi="Arial" w:cs="Arial"/>
              </w:rPr>
            </w:pPr>
            <w:r w:rsidRPr="0071434C">
              <w:rPr>
                <w:rFonts w:ascii="Arial" w:hAnsi="Arial" w:cs="Arial"/>
                <w:color w:val="000000"/>
              </w:rPr>
              <w:t>Mensajería en memoria y ejecución de tareas en segundo plano (workers)</w:t>
            </w:r>
          </w:p>
        </w:tc>
      </w:tr>
      <w:tr w:rsidR="00416B41" w:rsidRPr="0071434C" w14:paraId="469EAC94"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6A50FC1D" w14:textId="77777777" w:rsidR="00416B41" w:rsidRPr="0071434C" w:rsidRDefault="00000000">
            <w:pPr>
              <w:rPr>
                <w:rFonts w:ascii="Arial" w:hAnsi="Arial" w:cs="Arial"/>
              </w:rPr>
            </w:pPr>
            <w:proofErr w:type="spellStart"/>
            <w:r w:rsidRPr="0071434C">
              <w:rPr>
                <w:rFonts w:ascii="Arial" w:hAnsi="Arial" w:cs="Arial"/>
                <w:color w:val="000000"/>
              </w:rPr>
              <w:t>OpenAPI</w:t>
            </w:r>
            <w:proofErr w:type="spellEnd"/>
            <w:r w:rsidRPr="0071434C">
              <w:rPr>
                <w:rFonts w:ascii="Arial" w:hAnsi="Arial" w:cs="Arial"/>
                <w:color w:val="000000"/>
              </w:rPr>
              <w:t xml:space="preserve"> / Swagger</w:t>
            </w:r>
          </w:p>
        </w:tc>
        <w:tc>
          <w:tcPr>
            <w:tcW w:w="6500" w:type="dxa"/>
            <w:shd w:val="clear" w:color="auto" w:fill="FFFFFF"/>
            <w:tcMar>
              <w:top w:w="80" w:type="dxa"/>
              <w:left w:w="100" w:type="dxa"/>
              <w:bottom w:w="80" w:type="dxa"/>
              <w:right w:w="100" w:type="dxa"/>
            </w:tcMar>
            <w:vAlign w:val="center"/>
          </w:tcPr>
          <w:p w14:paraId="3FE4C677" w14:textId="77777777" w:rsidR="00416B41" w:rsidRPr="0071434C" w:rsidRDefault="00000000">
            <w:pPr>
              <w:rPr>
                <w:rFonts w:ascii="Arial" w:hAnsi="Arial" w:cs="Arial"/>
              </w:rPr>
            </w:pPr>
            <w:r w:rsidRPr="0071434C">
              <w:rPr>
                <w:rFonts w:ascii="Arial" w:hAnsi="Arial" w:cs="Arial"/>
                <w:color w:val="000000"/>
              </w:rPr>
              <w:t>Documentación interactiva de los contratos de integración del sistema</w:t>
            </w:r>
          </w:p>
        </w:tc>
      </w:tr>
    </w:tbl>
    <w:p w14:paraId="504F9271" w14:textId="77777777" w:rsidR="00416B41" w:rsidRPr="0071434C" w:rsidRDefault="00000000">
      <w:pPr>
        <w:pStyle w:val="Ttulo2"/>
        <w:spacing w:before="300" w:after="150"/>
        <w:rPr>
          <w:rFonts w:ascii="Arial" w:hAnsi="Arial" w:cs="Arial"/>
        </w:rPr>
      </w:pPr>
      <w:r w:rsidRPr="0071434C">
        <w:rPr>
          <w:rFonts w:ascii="Arial" w:hAnsi="Arial" w:cs="Arial"/>
          <w:b/>
          <w:bCs/>
          <w:sz w:val="24"/>
          <w:szCs w:val="24"/>
        </w:rPr>
        <w:t>Clientes de usuario (web y móvil)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416B41" w:rsidRPr="0071434C" w14:paraId="5052EDC6" w14:textId="77777777">
        <w:tblPrEx>
          <w:tblCellMar>
            <w:top w:w="0" w:type="dxa"/>
            <w:bottom w:w="0" w:type="dxa"/>
          </w:tblCellMar>
        </w:tblPrEx>
        <w:tc>
          <w:tcPr>
            <w:tcW w:w="3000" w:type="dxa"/>
            <w:shd w:val="clear" w:color="auto" w:fill="1F3864"/>
            <w:tcMar>
              <w:top w:w="80" w:type="dxa"/>
              <w:left w:w="100" w:type="dxa"/>
              <w:bottom w:w="80" w:type="dxa"/>
              <w:right w:w="100" w:type="dxa"/>
            </w:tcMar>
            <w:vAlign w:val="center"/>
          </w:tcPr>
          <w:p w14:paraId="17B1C960" w14:textId="77777777" w:rsidR="00416B41" w:rsidRPr="0071434C" w:rsidRDefault="00000000">
            <w:pPr>
              <w:rPr>
                <w:rFonts w:ascii="Arial" w:hAnsi="Arial" w:cs="Arial"/>
              </w:rPr>
            </w:pPr>
            <w:r w:rsidRPr="0071434C">
              <w:rPr>
                <w:rFonts w:ascii="Arial" w:hAnsi="Arial" w:cs="Arial"/>
                <w:b/>
                <w:bCs/>
                <w:color w:val="FFFFFF"/>
              </w:rPr>
              <w:t>Herramienta</w:t>
            </w:r>
          </w:p>
        </w:tc>
        <w:tc>
          <w:tcPr>
            <w:tcW w:w="6500" w:type="dxa"/>
            <w:shd w:val="clear" w:color="auto" w:fill="1F3864"/>
            <w:tcMar>
              <w:top w:w="80" w:type="dxa"/>
              <w:left w:w="100" w:type="dxa"/>
              <w:bottom w:w="80" w:type="dxa"/>
              <w:right w:w="100" w:type="dxa"/>
            </w:tcMar>
            <w:vAlign w:val="center"/>
          </w:tcPr>
          <w:p w14:paraId="1A8736ED" w14:textId="77777777" w:rsidR="00416B41" w:rsidRPr="0071434C" w:rsidRDefault="00000000">
            <w:pPr>
              <w:rPr>
                <w:rFonts w:ascii="Arial" w:hAnsi="Arial" w:cs="Arial"/>
              </w:rPr>
            </w:pPr>
            <w:r w:rsidRPr="0071434C">
              <w:rPr>
                <w:rFonts w:ascii="Arial" w:hAnsi="Arial" w:cs="Arial"/>
                <w:b/>
                <w:bCs/>
                <w:color w:val="FFFFFF"/>
              </w:rPr>
              <w:t>Función</w:t>
            </w:r>
          </w:p>
        </w:tc>
      </w:tr>
      <w:tr w:rsidR="00416B41" w:rsidRPr="0071434C" w14:paraId="341870F7"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1878B04E" w14:textId="77777777" w:rsidR="00416B41" w:rsidRPr="0071434C" w:rsidRDefault="00000000">
            <w:pPr>
              <w:rPr>
                <w:rFonts w:ascii="Arial" w:hAnsi="Arial" w:cs="Arial"/>
                <w:lang w:val="en-US"/>
              </w:rPr>
            </w:pPr>
            <w:r w:rsidRPr="0071434C">
              <w:rPr>
                <w:rFonts w:ascii="Arial" w:hAnsi="Arial" w:cs="Arial"/>
                <w:color w:val="000000"/>
                <w:lang w:val="en-US"/>
              </w:rPr>
              <w:t>Consola Web (React/Vue + TypeScript)</w:t>
            </w:r>
          </w:p>
        </w:tc>
        <w:tc>
          <w:tcPr>
            <w:tcW w:w="6500" w:type="dxa"/>
            <w:shd w:val="clear" w:color="auto" w:fill="FFFFFF"/>
            <w:tcMar>
              <w:top w:w="80" w:type="dxa"/>
              <w:left w:w="100" w:type="dxa"/>
              <w:bottom w:w="80" w:type="dxa"/>
              <w:right w:w="100" w:type="dxa"/>
            </w:tcMar>
            <w:vAlign w:val="center"/>
          </w:tcPr>
          <w:p w14:paraId="69105EF9" w14:textId="77777777" w:rsidR="00416B41" w:rsidRPr="0071434C" w:rsidRDefault="00000000">
            <w:pPr>
              <w:rPr>
                <w:rFonts w:ascii="Arial" w:hAnsi="Arial" w:cs="Arial"/>
              </w:rPr>
            </w:pPr>
            <w:r w:rsidRPr="0071434C">
              <w:rPr>
                <w:rFonts w:ascii="Arial" w:hAnsi="Arial" w:cs="Arial"/>
                <w:color w:val="000000"/>
              </w:rPr>
              <w:t>Panel administrativo con vistas analíticas, visualización de código línea a línea y exportación de evidencias</w:t>
            </w:r>
          </w:p>
        </w:tc>
      </w:tr>
      <w:tr w:rsidR="00416B41" w:rsidRPr="0071434C" w14:paraId="35FEC57E"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28B28CE6" w14:textId="77777777" w:rsidR="00416B41" w:rsidRPr="0071434C" w:rsidRDefault="00000000">
            <w:pPr>
              <w:rPr>
                <w:rFonts w:ascii="Arial" w:hAnsi="Arial" w:cs="Arial"/>
              </w:rPr>
            </w:pPr>
            <w:r w:rsidRPr="0071434C">
              <w:rPr>
                <w:rFonts w:ascii="Arial" w:hAnsi="Arial" w:cs="Arial"/>
                <w:color w:val="000000"/>
              </w:rPr>
              <w:t>SSPILLOWY Pulse (Flutter - Dart)</w:t>
            </w:r>
          </w:p>
        </w:tc>
        <w:tc>
          <w:tcPr>
            <w:tcW w:w="6500" w:type="dxa"/>
            <w:shd w:val="clear" w:color="auto" w:fill="F2F2F2"/>
            <w:tcMar>
              <w:top w:w="80" w:type="dxa"/>
              <w:left w:w="100" w:type="dxa"/>
              <w:bottom w:w="80" w:type="dxa"/>
              <w:right w:w="100" w:type="dxa"/>
            </w:tcMar>
            <w:vAlign w:val="center"/>
          </w:tcPr>
          <w:p w14:paraId="64D40CDF" w14:textId="77777777" w:rsidR="00416B41" w:rsidRPr="0071434C" w:rsidRDefault="00000000">
            <w:pPr>
              <w:rPr>
                <w:rFonts w:ascii="Arial" w:hAnsi="Arial" w:cs="Arial"/>
              </w:rPr>
            </w:pPr>
            <w:r w:rsidRPr="0071434C">
              <w:rPr>
                <w:rFonts w:ascii="Arial" w:hAnsi="Arial" w:cs="Arial"/>
                <w:color w:val="000000"/>
              </w:rPr>
              <w:t>App móvil multiplataforma (Android/iOS), arquitectura limpia (Riverpod/Bloc), biometría y push vía FCM</w:t>
            </w:r>
          </w:p>
        </w:tc>
      </w:tr>
    </w:tbl>
    <w:p w14:paraId="09EB3DA1" w14:textId="77777777" w:rsidR="00416B41" w:rsidRPr="0071434C" w:rsidRDefault="00000000">
      <w:pPr>
        <w:pStyle w:val="Ttulo2"/>
        <w:spacing w:before="300" w:after="150"/>
        <w:rPr>
          <w:rFonts w:ascii="Arial" w:hAnsi="Arial" w:cs="Arial"/>
        </w:rPr>
      </w:pPr>
      <w:r w:rsidRPr="0071434C">
        <w:rPr>
          <w:rFonts w:ascii="Arial" w:hAnsi="Arial" w:cs="Arial"/>
          <w:b/>
          <w:bCs/>
          <w:sz w:val="24"/>
          <w:szCs w:val="24"/>
        </w:rPr>
        <w:t>Calidad de software, DevSecOps y pruebas (QA)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416B41" w:rsidRPr="0071434C" w14:paraId="4968BA1D" w14:textId="77777777">
        <w:tblPrEx>
          <w:tblCellMar>
            <w:top w:w="0" w:type="dxa"/>
            <w:bottom w:w="0" w:type="dxa"/>
          </w:tblCellMar>
        </w:tblPrEx>
        <w:tc>
          <w:tcPr>
            <w:tcW w:w="3000" w:type="dxa"/>
            <w:shd w:val="clear" w:color="auto" w:fill="1F3864"/>
            <w:tcMar>
              <w:top w:w="80" w:type="dxa"/>
              <w:left w:w="100" w:type="dxa"/>
              <w:bottom w:w="80" w:type="dxa"/>
              <w:right w:w="100" w:type="dxa"/>
            </w:tcMar>
            <w:vAlign w:val="center"/>
          </w:tcPr>
          <w:p w14:paraId="20A80E93" w14:textId="77777777" w:rsidR="00416B41" w:rsidRPr="0071434C" w:rsidRDefault="00000000">
            <w:pPr>
              <w:rPr>
                <w:rFonts w:ascii="Arial" w:hAnsi="Arial" w:cs="Arial"/>
              </w:rPr>
            </w:pPr>
            <w:r w:rsidRPr="0071434C">
              <w:rPr>
                <w:rFonts w:ascii="Arial" w:hAnsi="Arial" w:cs="Arial"/>
                <w:b/>
                <w:bCs/>
                <w:color w:val="FFFFFF"/>
              </w:rPr>
              <w:t>Herramienta</w:t>
            </w:r>
          </w:p>
        </w:tc>
        <w:tc>
          <w:tcPr>
            <w:tcW w:w="6500" w:type="dxa"/>
            <w:shd w:val="clear" w:color="auto" w:fill="1F3864"/>
            <w:tcMar>
              <w:top w:w="80" w:type="dxa"/>
              <w:left w:w="100" w:type="dxa"/>
              <w:bottom w:w="80" w:type="dxa"/>
              <w:right w:w="100" w:type="dxa"/>
            </w:tcMar>
            <w:vAlign w:val="center"/>
          </w:tcPr>
          <w:p w14:paraId="6A43E302" w14:textId="77777777" w:rsidR="00416B41" w:rsidRPr="0071434C" w:rsidRDefault="00000000">
            <w:pPr>
              <w:rPr>
                <w:rFonts w:ascii="Arial" w:hAnsi="Arial" w:cs="Arial"/>
              </w:rPr>
            </w:pPr>
            <w:r w:rsidRPr="0071434C">
              <w:rPr>
                <w:rFonts w:ascii="Arial" w:hAnsi="Arial" w:cs="Arial"/>
                <w:b/>
                <w:bCs/>
                <w:color w:val="FFFFFF"/>
              </w:rPr>
              <w:t>Función</w:t>
            </w:r>
          </w:p>
        </w:tc>
      </w:tr>
      <w:tr w:rsidR="00416B41" w:rsidRPr="0071434C" w14:paraId="1367F4B0"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51B8C413" w14:textId="77777777" w:rsidR="00416B41" w:rsidRPr="0071434C" w:rsidRDefault="00000000">
            <w:pPr>
              <w:rPr>
                <w:rFonts w:ascii="Arial" w:hAnsi="Arial" w:cs="Arial"/>
              </w:rPr>
            </w:pPr>
            <w:r w:rsidRPr="0071434C">
              <w:rPr>
                <w:rFonts w:ascii="Arial" w:hAnsi="Arial" w:cs="Arial"/>
                <w:color w:val="000000"/>
              </w:rPr>
              <w:t>SonarQube</w:t>
            </w:r>
          </w:p>
        </w:tc>
        <w:tc>
          <w:tcPr>
            <w:tcW w:w="6500" w:type="dxa"/>
            <w:shd w:val="clear" w:color="auto" w:fill="FFFFFF"/>
            <w:tcMar>
              <w:top w:w="80" w:type="dxa"/>
              <w:left w:w="100" w:type="dxa"/>
              <w:bottom w:w="80" w:type="dxa"/>
              <w:right w:w="100" w:type="dxa"/>
            </w:tcMar>
            <w:vAlign w:val="center"/>
          </w:tcPr>
          <w:p w14:paraId="3846E911" w14:textId="77777777" w:rsidR="00416B41" w:rsidRPr="0071434C" w:rsidRDefault="00000000">
            <w:pPr>
              <w:rPr>
                <w:rFonts w:ascii="Arial" w:hAnsi="Arial" w:cs="Arial"/>
              </w:rPr>
            </w:pPr>
            <w:r w:rsidRPr="0071434C">
              <w:rPr>
                <w:rFonts w:ascii="Arial" w:hAnsi="Arial" w:cs="Arial"/>
                <w:color w:val="000000"/>
              </w:rPr>
              <w:t>Análisis estático continuo, cobertura de pruebas (&gt;80%) y control de deuda técnica</w:t>
            </w:r>
          </w:p>
        </w:tc>
      </w:tr>
      <w:tr w:rsidR="00416B41" w:rsidRPr="0071434C" w14:paraId="6D473640"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1622D0AB" w14:textId="77777777" w:rsidR="00416B41" w:rsidRPr="0071434C" w:rsidRDefault="00000000">
            <w:pPr>
              <w:rPr>
                <w:rFonts w:ascii="Arial" w:hAnsi="Arial" w:cs="Arial"/>
              </w:rPr>
            </w:pPr>
            <w:r w:rsidRPr="0071434C">
              <w:rPr>
                <w:rFonts w:ascii="Arial" w:hAnsi="Arial" w:cs="Arial"/>
                <w:color w:val="000000"/>
              </w:rPr>
              <w:t>Apache JMeter</w:t>
            </w:r>
          </w:p>
        </w:tc>
        <w:tc>
          <w:tcPr>
            <w:tcW w:w="6500" w:type="dxa"/>
            <w:shd w:val="clear" w:color="auto" w:fill="F2F2F2"/>
            <w:tcMar>
              <w:top w:w="80" w:type="dxa"/>
              <w:left w:w="100" w:type="dxa"/>
              <w:bottom w:w="80" w:type="dxa"/>
              <w:right w:w="100" w:type="dxa"/>
            </w:tcMar>
            <w:vAlign w:val="center"/>
          </w:tcPr>
          <w:p w14:paraId="50ABE399" w14:textId="77777777" w:rsidR="00416B41" w:rsidRPr="0071434C" w:rsidRDefault="00000000">
            <w:pPr>
              <w:rPr>
                <w:rFonts w:ascii="Arial" w:hAnsi="Arial" w:cs="Arial"/>
              </w:rPr>
            </w:pPr>
            <w:r w:rsidRPr="0071434C">
              <w:rPr>
                <w:rFonts w:ascii="Arial" w:hAnsi="Arial" w:cs="Arial"/>
                <w:color w:val="000000"/>
              </w:rPr>
              <w:t>Pruebas de estrés para validar el backend bajo ráfagas concurrentes de peticiones</w:t>
            </w:r>
          </w:p>
        </w:tc>
      </w:tr>
      <w:tr w:rsidR="00416B41" w:rsidRPr="0071434C" w14:paraId="3CDE8D7B"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5FF93500" w14:textId="77777777" w:rsidR="00416B41" w:rsidRPr="0071434C" w:rsidRDefault="00000000">
            <w:pPr>
              <w:rPr>
                <w:rFonts w:ascii="Arial" w:hAnsi="Arial" w:cs="Arial"/>
              </w:rPr>
            </w:pPr>
            <w:r w:rsidRPr="0071434C">
              <w:rPr>
                <w:rFonts w:ascii="Arial" w:hAnsi="Arial" w:cs="Arial"/>
                <w:color w:val="000000"/>
              </w:rPr>
              <w:t>Pytest &amp; Pytest-Asyncio</w:t>
            </w:r>
          </w:p>
        </w:tc>
        <w:tc>
          <w:tcPr>
            <w:tcW w:w="6500" w:type="dxa"/>
            <w:shd w:val="clear" w:color="auto" w:fill="FFFFFF"/>
            <w:tcMar>
              <w:top w:w="80" w:type="dxa"/>
              <w:left w:w="100" w:type="dxa"/>
              <w:bottom w:w="80" w:type="dxa"/>
              <w:right w:w="100" w:type="dxa"/>
            </w:tcMar>
            <w:vAlign w:val="center"/>
          </w:tcPr>
          <w:p w14:paraId="767335A9" w14:textId="77777777" w:rsidR="00416B41" w:rsidRPr="0071434C" w:rsidRDefault="00000000">
            <w:pPr>
              <w:rPr>
                <w:rFonts w:ascii="Arial" w:hAnsi="Arial" w:cs="Arial"/>
              </w:rPr>
            </w:pPr>
            <w:r w:rsidRPr="0071434C">
              <w:rPr>
                <w:rFonts w:ascii="Arial" w:hAnsi="Arial" w:cs="Arial"/>
                <w:color w:val="000000"/>
              </w:rPr>
              <w:t>Pruebas unitarias y de integración de la lógica asíncrona</w:t>
            </w:r>
          </w:p>
        </w:tc>
      </w:tr>
    </w:tbl>
    <w:p w14:paraId="40E66F8A" w14:textId="77777777" w:rsidR="00416B41" w:rsidRPr="0071434C" w:rsidRDefault="00000000">
      <w:pPr>
        <w:pStyle w:val="Ttulo2"/>
        <w:spacing w:before="300" w:after="150"/>
        <w:rPr>
          <w:rFonts w:ascii="Arial" w:hAnsi="Arial" w:cs="Arial"/>
        </w:rPr>
      </w:pPr>
      <w:r w:rsidRPr="0071434C">
        <w:rPr>
          <w:rFonts w:ascii="Arial" w:hAnsi="Arial" w:cs="Arial"/>
          <w:b/>
          <w:bCs/>
          <w:sz w:val="24"/>
          <w:szCs w:val="24"/>
        </w:rPr>
        <w:t>Monitoreo, métricas y observabilidad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416B41" w:rsidRPr="0071434C" w14:paraId="21C5428E" w14:textId="77777777">
        <w:tblPrEx>
          <w:tblCellMar>
            <w:top w:w="0" w:type="dxa"/>
            <w:bottom w:w="0" w:type="dxa"/>
          </w:tblCellMar>
        </w:tblPrEx>
        <w:tc>
          <w:tcPr>
            <w:tcW w:w="3000" w:type="dxa"/>
            <w:shd w:val="clear" w:color="auto" w:fill="1F3864"/>
            <w:tcMar>
              <w:top w:w="80" w:type="dxa"/>
              <w:left w:w="100" w:type="dxa"/>
              <w:bottom w:w="80" w:type="dxa"/>
              <w:right w:w="100" w:type="dxa"/>
            </w:tcMar>
            <w:vAlign w:val="center"/>
          </w:tcPr>
          <w:p w14:paraId="6351E263" w14:textId="77777777" w:rsidR="00416B41" w:rsidRPr="0071434C" w:rsidRDefault="00000000">
            <w:pPr>
              <w:rPr>
                <w:rFonts w:ascii="Arial" w:hAnsi="Arial" w:cs="Arial"/>
              </w:rPr>
            </w:pPr>
            <w:r w:rsidRPr="0071434C">
              <w:rPr>
                <w:rFonts w:ascii="Arial" w:hAnsi="Arial" w:cs="Arial"/>
                <w:b/>
                <w:bCs/>
                <w:color w:val="FFFFFF"/>
              </w:rPr>
              <w:t>Herramienta</w:t>
            </w:r>
          </w:p>
        </w:tc>
        <w:tc>
          <w:tcPr>
            <w:tcW w:w="6500" w:type="dxa"/>
            <w:shd w:val="clear" w:color="auto" w:fill="1F3864"/>
            <w:tcMar>
              <w:top w:w="80" w:type="dxa"/>
              <w:left w:w="100" w:type="dxa"/>
              <w:bottom w:w="80" w:type="dxa"/>
              <w:right w:w="100" w:type="dxa"/>
            </w:tcMar>
            <w:vAlign w:val="center"/>
          </w:tcPr>
          <w:p w14:paraId="5766E753" w14:textId="77777777" w:rsidR="00416B41" w:rsidRPr="0071434C" w:rsidRDefault="00000000">
            <w:pPr>
              <w:rPr>
                <w:rFonts w:ascii="Arial" w:hAnsi="Arial" w:cs="Arial"/>
              </w:rPr>
            </w:pPr>
            <w:r w:rsidRPr="0071434C">
              <w:rPr>
                <w:rFonts w:ascii="Arial" w:hAnsi="Arial" w:cs="Arial"/>
                <w:b/>
                <w:bCs/>
                <w:color w:val="FFFFFF"/>
              </w:rPr>
              <w:t>Función</w:t>
            </w:r>
          </w:p>
        </w:tc>
      </w:tr>
      <w:tr w:rsidR="00416B41" w:rsidRPr="0071434C" w14:paraId="7ABC6942"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27970E8A" w14:textId="77777777" w:rsidR="00416B41" w:rsidRPr="0071434C" w:rsidRDefault="00000000">
            <w:pPr>
              <w:rPr>
                <w:rFonts w:ascii="Arial" w:hAnsi="Arial" w:cs="Arial"/>
              </w:rPr>
            </w:pPr>
            <w:r w:rsidRPr="0071434C">
              <w:rPr>
                <w:rFonts w:ascii="Arial" w:hAnsi="Arial" w:cs="Arial"/>
                <w:color w:val="000000"/>
              </w:rPr>
              <w:t>Prometheus</w:t>
            </w:r>
          </w:p>
        </w:tc>
        <w:tc>
          <w:tcPr>
            <w:tcW w:w="6500" w:type="dxa"/>
            <w:shd w:val="clear" w:color="auto" w:fill="FFFFFF"/>
            <w:tcMar>
              <w:top w:w="80" w:type="dxa"/>
              <w:left w:w="100" w:type="dxa"/>
              <w:bottom w:w="80" w:type="dxa"/>
              <w:right w:w="100" w:type="dxa"/>
            </w:tcMar>
            <w:vAlign w:val="center"/>
          </w:tcPr>
          <w:p w14:paraId="69158C83" w14:textId="77777777" w:rsidR="00416B41" w:rsidRPr="0071434C" w:rsidRDefault="00000000">
            <w:pPr>
              <w:rPr>
                <w:rFonts w:ascii="Arial" w:hAnsi="Arial" w:cs="Arial"/>
              </w:rPr>
            </w:pPr>
            <w:r w:rsidRPr="0071434C">
              <w:rPr>
                <w:rFonts w:ascii="Arial" w:hAnsi="Arial" w:cs="Arial"/>
                <w:color w:val="000000"/>
              </w:rPr>
              <w:t>Recolección de métricas de series temporales (latencia, fallos, consumo de memoria)</w:t>
            </w:r>
          </w:p>
        </w:tc>
      </w:tr>
      <w:tr w:rsidR="00416B41" w:rsidRPr="0071434C" w14:paraId="28C57102"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291F09DB" w14:textId="77777777" w:rsidR="00416B41" w:rsidRPr="0071434C" w:rsidRDefault="00000000">
            <w:pPr>
              <w:rPr>
                <w:rFonts w:ascii="Arial" w:hAnsi="Arial" w:cs="Arial"/>
              </w:rPr>
            </w:pPr>
            <w:r w:rsidRPr="0071434C">
              <w:rPr>
                <w:rFonts w:ascii="Arial" w:hAnsi="Arial" w:cs="Arial"/>
                <w:color w:val="000000"/>
              </w:rPr>
              <w:t>Grafana</w:t>
            </w:r>
          </w:p>
        </w:tc>
        <w:tc>
          <w:tcPr>
            <w:tcW w:w="6500" w:type="dxa"/>
            <w:shd w:val="clear" w:color="auto" w:fill="F2F2F2"/>
            <w:tcMar>
              <w:top w:w="80" w:type="dxa"/>
              <w:left w:w="100" w:type="dxa"/>
              <w:bottom w:w="80" w:type="dxa"/>
              <w:right w:w="100" w:type="dxa"/>
            </w:tcMar>
            <w:vAlign w:val="center"/>
          </w:tcPr>
          <w:p w14:paraId="26C9DA39" w14:textId="77777777" w:rsidR="00416B41" w:rsidRPr="0071434C" w:rsidRDefault="00000000">
            <w:pPr>
              <w:rPr>
                <w:rFonts w:ascii="Arial" w:hAnsi="Arial" w:cs="Arial"/>
              </w:rPr>
            </w:pPr>
            <w:r w:rsidRPr="0071434C">
              <w:rPr>
                <w:rFonts w:ascii="Arial" w:hAnsi="Arial" w:cs="Arial"/>
                <w:color w:val="000000"/>
              </w:rPr>
              <w:t>Dashboards operativos en tiempo real</w:t>
            </w:r>
          </w:p>
        </w:tc>
      </w:tr>
      <w:tr w:rsidR="00416B41" w:rsidRPr="0071434C" w14:paraId="30B196C0"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398D2B53" w14:textId="77777777" w:rsidR="00416B41" w:rsidRPr="0071434C" w:rsidRDefault="00000000">
            <w:pPr>
              <w:rPr>
                <w:rFonts w:ascii="Arial" w:hAnsi="Arial" w:cs="Arial"/>
              </w:rPr>
            </w:pPr>
            <w:r w:rsidRPr="0071434C">
              <w:rPr>
                <w:rFonts w:ascii="Arial" w:hAnsi="Arial" w:cs="Arial"/>
                <w:color w:val="000000"/>
              </w:rPr>
              <w:t>Sentry</w:t>
            </w:r>
          </w:p>
        </w:tc>
        <w:tc>
          <w:tcPr>
            <w:tcW w:w="6500" w:type="dxa"/>
            <w:shd w:val="clear" w:color="auto" w:fill="FFFFFF"/>
            <w:tcMar>
              <w:top w:w="80" w:type="dxa"/>
              <w:left w:w="100" w:type="dxa"/>
              <w:bottom w:w="80" w:type="dxa"/>
              <w:right w:w="100" w:type="dxa"/>
            </w:tcMar>
            <w:vAlign w:val="center"/>
          </w:tcPr>
          <w:p w14:paraId="77C3E192" w14:textId="77777777" w:rsidR="00416B41" w:rsidRPr="0071434C" w:rsidRDefault="00000000">
            <w:pPr>
              <w:rPr>
                <w:rFonts w:ascii="Arial" w:hAnsi="Arial" w:cs="Arial"/>
              </w:rPr>
            </w:pPr>
            <w:r w:rsidRPr="0071434C">
              <w:rPr>
                <w:rFonts w:ascii="Arial" w:hAnsi="Arial" w:cs="Arial"/>
                <w:color w:val="000000"/>
              </w:rPr>
              <w:t xml:space="preserve">Rastreo de excepciones no controladas con trazabilidad por </w:t>
            </w:r>
            <w:proofErr w:type="spellStart"/>
            <w:r w:rsidRPr="0071434C">
              <w:rPr>
                <w:rFonts w:ascii="Arial" w:hAnsi="Arial" w:cs="Arial"/>
                <w:color w:val="000000"/>
              </w:rPr>
              <w:t>trace_id</w:t>
            </w:r>
            <w:proofErr w:type="spellEnd"/>
          </w:p>
        </w:tc>
      </w:tr>
    </w:tbl>
    <w:p w14:paraId="27F10F34" w14:textId="77777777" w:rsidR="00416B41" w:rsidRPr="0071434C" w:rsidRDefault="00000000">
      <w:pPr>
        <w:pStyle w:val="Ttulo1"/>
        <w:pBdr>
          <w:bottom w:val="single" w:sz="6" w:space="4" w:color="2E74B5"/>
        </w:pBdr>
        <w:spacing w:before="400" w:after="200"/>
        <w:rPr>
          <w:rFonts w:ascii="Arial" w:hAnsi="Arial" w:cs="Arial"/>
        </w:rPr>
      </w:pPr>
      <w:r w:rsidRPr="0071434C">
        <w:rPr>
          <w:rFonts w:ascii="Arial" w:hAnsi="Arial" w:cs="Arial"/>
          <w:b/>
          <w:bCs/>
          <w:color w:val="1F3864"/>
          <w:sz w:val="30"/>
          <w:szCs w:val="30"/>
        </w:rPr>
        <w:t>5. Distribución Funcional: Web Hub vs. Mobile Pulse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50"/>
        <w:gridCol w:w="3450"/>
      </w:tblGrid>
      <w:tr w:rsidR="00416B41" w:rsidRPr="0071434C" w14:paraId="6CD3B120" w14:textId="77777777">
        <w:tblPrEx>
          <w:tblCellMar>
            <w:top w:w="0" w:type="dxa"/>
            <w:bottom w:w="0" w:type="dxa"/>
          </w:tblCellMar>
        </w:tblPrEx>
        <w:tc>
          <w:tcPr>
            <w:tcW w:w="2600" w:type="dxa"/>
            <w:shd w:val="clear" w:color="auto" w:fill="1F3864"/>
            <w:tcMar>
              <w:top w:w="80" w:type="dxa"/>
              <w:left w:w="100" w:type="dxa"/>
              <w:bottom w:w="80" w:type="dxa"/>
              <w:right w:w="100" w:type="dxa"/>
            </w:tcMar>
            <w:vAlign w:val="center"/>
          </w:tcPr>
          <w:p w14:paraId="65E1145B" w14:textId="77777777" w:rsidR="00416B41" w:rsidRPr="0071434C" w:rsidRDefault="00000000">
            <w:pPr>
              <w:rPr>
                <w:rFonts w:ascii="Arial" w:hAnsi="Arial" w:cs="Arial"/>
              </w:rPr>
            </w:pPr>
            <w:r w:rsidRPr="0071434C">
              <w:rPr>
                <w:rFonts w:ascii="Arial" w:hAnsi="Arial" w:cs="Arial"/>
                <w:b/>
                <w:bCs/>
                <w:color w:val="FFFFFF"/>
              </w:rPr>
              <w:t>Módulo funcional</w:t>
            </w:r>
          </w:p>
        </w:tc>
        <w:tc>
          <w:tcPr>
            <w:tcW w:w="3450" w:type="dxa"/>
            <w:shd w:val="clear" w:color="auto" w:fill="1F3864"/>
            <w:tcMar>
              <w:top w:w="80" w:type="dxa"/>
              <w:left w:w="100" w:type="dxa"/>
              <w:bottom w:w="80" w:type="dxa"/>
              <w:right w:w="100" w:type="dxa"/>
            </w:tcMar>
            <w:vAlign w:val="center"/>
          </w:tcPr>
          <w:p w14:paraId="06D6D86E" w14:textId="77777777" w:rsidR="00416B41" w:rsidRPr="0071434C" w:rsidRDefault="00000000">
            <w:pPr>
              <w:rPr>
                <w:rFonts w:ascii="Arial" w:hAnsi="Arial" w:cs="Arial"/>
              </w:rPr>
            </w:pPr>
            <w:r w:rsidRPr="0071434C">
              <w:rPr>
                <w:rFonts w:ascii="Arial" w:hAnsi="Arial" w:cs="Arial"/>
                <w:b/>
                <w:bCs/>
                <w:color w:val="FFFFFF"/>
              </w:rPr>
              <w:t>SSPILLOWY Web Hub (Auditoría e Ingeniería)</w:t>
            </w:r>
          </w:p>
        </w:tc>
        <w:tc>
          <w:tcPr>
            <w:tcW w:w="3450" w:type="dxa"/>
            <w:shd w:val="clear" w:color="auto" w:fill="1F3864"/>
            <w:tcMar>
              <w:top w:w="80" w:type="dxa"/>
              <w:left w:w="100" w:type="dxa"/>
              <w:bottom w:w="80" w:type="dxa"/>
              <w:right w:w="100" w:type="dxa"/>
            </w:tcMar>
            <w:vAlign w:val="center"/>
          </w:tcPr>
          <w:p w14:paraId="7B39A09D" w14:textId="77777777" w:rsidR="00416B41" w:rsidRPr="0071434C" w:rsidRDefault="00000000">
            <w:pPr>
              <w:rPr>
                <w:rFonts w:ascii="Arial" w:hAnsi="Arial" w:cs="Arial"/>
              </w:rPr>
            </w:pPr>
            <w:r w:rsidRPr="0071434C">
              <w:rPr>
                <w:rFonts w:ascii="Arial" w:hAnsi="Arial" w:cs="Arial"/>
                <w:b/>
                <w:bCs/>
                <w:color w:val="FFFFFF"/>
              </w:rPr>
              <w:t>SSPILLOWY Pulse (Centro de Comando Móvil)</w:t>
            </w:r>
          </w:p>
        </w:tc>
      </w:tr>
      <w:tr w:rsidR="00416B41" w:rsidRPr="0071434C" w14:paraId="3C0B294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03F0FD7" w14:textId="77777777" w:rsidR="00416B41" w:rsidRPr="0071434C" w:rsidRDefault="00000000">
            <w:pPr>
              <w:rPr>
                <w:rFonts w:ascii="Arial" w:hAnsi="Arial" w:cs="Arial"/>
              </w:rPr>
            </w:pPr>
            <w:r w:rsidRPr="0071434C">
              <w:rPr>
                <w:rFonts w:ascii="Arial" w:hAnsi="Arial" w:cs="Arial"/>
                <w:color w:val="000000"/>
              </w:rPr>
              <w:lastRenderedPageBreak/>
              <w:t>Gestión de alcance</w:t>
            </w:r>
          </w:p>
        </w:tc>
        <w:tc>
          <w:tcPr>
            <w:tcW w:w="3450" w:type="dxa"/>
            <w:shd w:val="clear" w:color="auto" w:fill="FFFFFF"/>
            <w:tcMar>
              <w:top w:w="80" w:type="dxa"/>
              <w:left w:w="100" w:type="dxa"/>
              <w:bottom w:w="80" w:type="dxa"/>
              <w:right w:w="100" w:type="dxa"/>
            </w:tcMar>
            <w:vAlign w:val="center"/>
          </w:tcPr>
          <w:p w14:paraId="5E4F5E48" w14:textId="77777777" w:rsidR="00416B41" w:rsidRPr="0071434C" w:rsidRDefault="00000000">
            <w:pPr>
              <w:rPr>
                <w:rFonts w:ascii="Arial" w:hAnsi="Arial" w:cs="Arial"/>
              </w:rPr>
            </w:pPr>
            <w:r w:rsidRPr="0071434C">
              <w:rPr>
                <w:rFonts w:ascii="Arial" w:hAnsi="Arial" w:cs="Arial"/>
                <w:color w:val="000000"/>
              </w:rPr>
              <w:t>Registro de repositorios Git, selección de ramas y configuración de escáneres</w:t>
            </w:r>
          </w:p>
        </w:tc>
        <w:tc>
          <w:tcPr>
            <w:tcW w:w="3450" w:type="dxa"/>
            <w:shd w:val="clear" w:color="auto" w:fill="FFFFFF"/>
            <w:tcMar>
              <w:top w:w="80" w:type="dxa"/>
              <w:left w:w="100" w:type="dxa"/>
              <w:bottom w:w="80" w:type="dxa"/>
              <w:right w:w="100" w:type="dxa"/>
            </w:tcMar>
            <w:vAlign w:val="center"/>
          </w:tcPr>
          <w:p w14:paraId="25E0CC52" w14:textId="77777777" w:rsidR="00416B41" w:rsidRPr="0071434C" w:rsidRDefault="00000000">
            <w:pPr>
              <w:rPr>
                <w:rFonts w:ascii="Arial" w:hAnsi="Arial" w:cs="Arial"/>
              </w:rPr>
            </w:pPr>
            <w:r w:rsidRPr="0071434C">
              <w:rPr>
                <w:rFonts w:ascii="Arial" w:hAnsi="Arial" w:cs="Arial"/>
                <w:color w:val="000000"/>
              </w:rPr>
              <w:t xml:space="preserve">Vista de repositorios monitoreados e inicio de </w:t>
            </w:r>
            <w:proofErr w:type="spellStart"/>
            <w:r w:rsidRPr="0071434C">
              <w:rPr>
                <w:rFonts w:ascii="Arial" w:hAnsi="Arial" w:cs="Arial"/>
                <w:color w:val="000000"/>
              </w:rPr>
              <w:t>re-escaneos</w:t>
            </w:r>
            <w:proofErr w:type="spellEnd"/>
            <w:r w:rsidRPr="0071434C">
              <w:rPr>
                <w:rFonts w:ascii="Arial" w:hAnsi="Arial" w:cs="Arial"/>
                <w:color w:val="000000"/>
              </w:rPr>
              <w:t xml:space="preserve"> rápidos</w:t>
            </w:r>
          </w:p>
        </w:tc>
      </w:tr>
      <w:tr w:rsidR="00416B41" w:rsidRPr="0071434C" w14:paraId="5182542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33C3BB4" w14:textId="77777777" w:rsidR="00416B41" w:rsidRPr="0071434C" w:rsidRDefault="00000000">
            <w:pPr>
              <w:rPr>
                <w:rFonts w:ascii="Arial" w:hAnsi="Arial" w:cs="Arial"/>
              </w:rPr>
            </w:pPr>
            <w:r w:rsidRPr="0071434C">
              <w:rPr>
                <w:rFonts w:ascii="Arial" w:hAnsi="Arial" w:cs="Arial"/>
                <w:color w:val="000000"/>
              </w:rPr>
              <w:t>Triaje de vulnerabilidades</w:t>
            </w:r>
          </w:p>
        </w:tc>
        <w:tc>
          <w:tcPr>
            <w:tcW w:w="3450" w:type="dxa"/>
            <w:shd w:val="clear" w:color="auto" w:fill="F2F2F2"/>
            <w:tcMar>
              <w:top w:w="80" w:type="dxa"/>
              <w:left w:w="100" w:type="dxa"/>
              <w:bottom w:w="80" w:type="dxa"/>
              <w:right w:w="100" w:type="dxa"/>
            </w:tcMar>
            <w:vAlign w:val="center"/>
          </w:tcPr>
          <w:p w14:paraId="08CB1BDF" w14:textId="77777777" w:rsidR="00416B41" w:rsidRPr="0071434C" w:rsidRDefault="00000000">
            <w:pPr>
              <w:rPr>
                <w:rFonts w:ascii="Arial" w:hAnsi="Arial" w:cs="Arial"/>
              </w:rPr>
            </w:pPr>
            <w:r w:rsidRPr="0071434C">
              <w:rPr>
                <w:rFonts w:ascii="Arial" w:hAnsi="Arial" w:cs="Arial"/>
                <w:color w:val="000000"/>
              </w:rPr>
              <w:t>Inspección de código vulnerable, flujo de datos (</w:t>
            </w:r>
            <w:proofErr w:type="spellStart"/>
            <w:r w:rsidRPr="0071434C">
              <w:rPr>
                <w:rFonts w:ascii="Arial" w:hAnsi="Arial" w:cs="Arial"/>
                <w:color w:val="000000"/>
              </w:rPr>
              <w:t>source-sink</w:t>
            </w:r>
            <w:proofErr w:type="spellEnd"/>
            <w:r w:rsidRPr="0071434C">
              <w:rPr>
                <w:rFonts w:ascii="Arial" w:hAnsi="Arial" w:cs="Arial"/>
                <w:color w:val="000000"/>
              </w:rPr>
              <w:t>) y marcado manual</w:t>
            </w:r>
          </w:p>
        </w:tc>
        <w:tc>
          <w:tcPr>
            <w:tcW w:w="3450" w:type="dxa"/>
            <w:shd w:val="clear" w:color="auto" w:fill="F2F2F2"/>
            <w:tcMar>
              <w:top w:w="80" w:type="dxa"/>
              <w:left w:w="100" w:type="dxa"/>
              <w:bottom w:w="80" w:type="dxa"/>
              <w:right w:w="100" w:type="dxa"/>
            </w:tcMar>
            <w:vAlign w:val="center"/>
          </w:tcPr>
          <w:p w14:paraId="72F8E551" w14:textId="77777777" w:rsidR="00416B41" w:rsidRPr="0071434C" w:rsidRDefault="00000000">
            <w:pPr>
              <w:rPr>
                <w:rFonts w:ascii="Arial" w:hAnsi="Arial" w:cs="Arial"/>
              </w:rPr>
            </w:pPr>
            <w:r w:rsidRPr="0071434C">
              <w:rPr>
                <w:rFonts w:ascii="Arial" w:hAnsi="Arial" w:cs="Arial"/>
                <w:color w:val="000000"/>
              </w:rPr>
              <w:t>Resumen de hallazgos clasificados como críticos o de alto impacto</w:t>
            </w:r>
          </w:p>
        </w:tc>
      </w:tr>
      <w:tr w:rsidR="00416B41" w:rsidRPr="0071434C" w14:paraId="73EF712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FE43704" w14:textId="77777777" w:rsidR="00416B41" w:rsidRPr="0071434C" w:rsidRDefault="00000000">
            <w:pPr>
              <w:rPr>
                <w:rFonts w:ascii="Arial" w:hAnsi="Arial" w:cs="Arial"/>
              </w:rPr>
            </w:pPr>
            <w:r w:rsidRPr="0071434C">
              <w:rPr>
                <w:rFonts w:ascii="Arial" w:hAnsi="Arial" w:cs="Arial"/>
                <w:color w:val="000000"/>
              </w:rPr>
              <w:t>Security Gates</w:t>
            </w:r>
          </w:p>
        </w:tc>
        <w:tc>
          <w:tcPr>
            <w:tcW w:w="3450" w:type="dxa"/>
            <w:shd w:val="clear" w:color="auto" w:fill="FFFFFF"/>
            <w:tcMar>
              <w:top w:w="80" w:type="dxa"/>
              <w:left w:w="100" w:type="dxa"/>
              <w:bottom w:w="80" w:type="dxa"/>
              <w:right w:w="100" w:type="dxa"/>
            </w:tcMar>
            <w:vAlign w:val="center"/>
          </w:tcPr>
          <w:p w14:paraId="411F40D0" w14:textId="77777777" w:rsidR="00416B41" w:rsidRPr="0071434C" w:rsidRDefault="00000000">
            <w:pPr>
              <w:rPr>
                <w:rFonts w:ascii="Arial" w:hAnsi="Arial" w:cs="Arial"/>
              </w:rPr>
            </w:pPr>
            <w:r w:rsidRPr="0071434C">
              <w:rPr>
                <w:rFonts w:ascii="Arial" w:hAnsi="Arial" w:cs="Arial"/>
                <w:color w:val="000000"/>
              </w:rPr>
              <w:t>Configuración de reglas de bloqueo para pipelines CI/CD</w:t>
            </w:r>
          </w:p>
        </w:tc>
        <w:tc>
          <w:tcPr>
            <w:tcW w:w="3450" w:type="dxa"/>
            <w:shd w:val="clear" w:color="auto" w:fill="FFFFFF"/>
            <w:tcMar>
              <w:top w:w="80" w:type="dxa"/>
              <w:left w:w="100" w:type="dxa"/>
              <w:bottom w:w="80" w:type="dxa"/>
              <w:right w:w="100" w:type="dxa"/>
            </w:tcMar>
            <w:vAlign w:val="center"/>
          </w:tcPr>
          <w:p w14:paraId="6706336B" w14:textId="77777777" w:rsidR="00416B41" w:rsidRPr="0071434C" w:rsidRDefault="00000000">
            <w:pPr>
              <w:rPr>
                <w:rFonts w:ascii="Arial" w:hAnsi="Arial" w:cs="Arial"/>
              </w:rPr>
            </w:pPr>
            <w:r w:rsidRPr="0071434C">
              <w:rPr>
                <w:rFonts w:ascii="Arial" w:hAnsi="Arial" w:cs="Arial"/>
                <w:color w:val="000000"/>
              </w:rPr>
              <w:t>Aprobación o rechazo de excepciones de despliegue con firma/biometría</w:t>
            </w:r>
          </w:p>
        </w:tc>
      </w:tr>
      <w:tr w:rsidR="00416B41" w:rsidRPr="0071434C" w14:paraId="3A8B89B5"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3D3CFFC" w14:textId="77777777" w:rsidR="00416B41" w:rsidRPr="0071434C" w:rsidRDefault="00000000">
            <w:pPr>
              <w:rPr>
                <w:rFonts w:ascii="Arial" w:hAnsi="Arial" w:cs="Arial"/>
              </w:rPr>
            </w:pPr>
            <w:r w:rsidRPr="0071434C">
              <w:rPr>
                <w:rFonts w:ascii="Arial" w:hAnsi="Arial" w:cs="Arial"/>
                <w:color w:val="000000"/>
              </w:rPr>
              <w:t>Notificaciones y alertas</w:t>
            </w:r>
          </w:p>
        </w:tc>
        <w:tc>
          <w:tcPr>
            <w:tcW w:w="3450" w:type="dxa"/>
            <w:shd w:val="clear" w:color="auto" w:fill="F2F2F2"/>
            <w:tcMar>
              <w:top w:w="80" w:type="dxa"/>
              <w:left w:w="100" w:type="dxa"/>
              <w:bottom w:w="80" w:type="dxa"/>
              <w:right w:w="100" w:type="dxa"/>
            </w:tcMar>
            <w:vAlign w:val="center"/>
          </w:tcPr>
          <w:p w14:paraId="2FDEDE06" w14:textId="77777777" w:rsidR="00416B41" w:rsidRPr="0071434C" w:rsidRDefault="00000000">
            <w:pPr>
              <w:rPr>
                <w:rFonts w:ascii="Arial" w:hAnsi="Arial" w:cs="Arial"/>
              </w:rPr>
            </w:pPr>
            <w:r w:rsidRPr="0071434C">
              <w:rPr>
                <w:rFonts w:ascii="Arial" w:hAnsi="Arial" w:cs="Arial"/>
                <w:color w:val="000000"/>
              </w:rPr>
              <w:t>Bandeja de notificaciones web y bitácora de eventos del sistema</w:t>
            </w:r>
          </w:p>
        </w:tc>
        <w:tc>
          <w:tcPr>
            <w:tcW w:w="3450" w:type="dxa"/>
            <w:shd w:val="clear" w:color="auto" w:fill="F2F2F2"/>
            <w:tcMar>
              <w:top w:w="80" w:type="dxa"/>
              <w:left w:w="100" w:type="dxa"/>
              <w:bottom w:w="80" w:type="dxa"/>
              <w:right w:w="100" w:type="dxa"/>
            </w:tcMar>
            <w:vAlign w:val="center"/>
          </w:tcPr>
          <w:p w14:paraId="13F8601A" w14:textId="77777777" w:rsidR="00416B41" w:rsidRPr="0071434C" w:rsidRDefault="00000000">
            <w:pPr>
              <w:rPr>
                <w:rFonts w:ascii="Arial" w:hAnsi="Arial" w:cs="Arial"/>
              </w:rPr>
            </w:pPr>
            <w:r w:rsidRPr="0071434C">
              <w:rPr>
                <w:rFonts w:ascii="Arial" w:hAnsi="Arial" w:cs="Arial"/>
                <w:color w:val="000000"/>
              </w:rPr>
              <w:t xml:space="preserve">Push </w:t>
            </w:r>
            <w:proofErr w:type="spellStart"/>
            <w:r w:rsidRPr="0071434C">
              <w:rPr>
                <w:rFonts w:ascii="Arial" w:hAnsi="Arial" w:cs="Arial"/>
                <w:color w:val="000000"/>
              </w:rPr>
              <w:t>notifications</w:t>
            </w:r>
            <w:proofErr w:type="spellEnd"/>
            <w:r w:rsidRPr="0071434C">
              <w:rPr>
                <w:rFonts w:ascii="Arial" w:hAnsi="Arial" w:cs="Arial"/>
                <w:color w:val="000000"/>
              </w:rPr>
              <w:t xml:space="preserve"> en tiempo real ante incidentes graves o secretos filtrados</w:t>
            </w:r>
          </w:p>
        </w:tc>
      </w:tr>
      <w:tr w:rsidR="00416B41" w:rsidRPr="0071434C" w14:paraId="0A156E0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62EAA71" w14:textId="77777777" w:rsidR="00416B41" w:rsidRPr="0071434C" w:rsidRDefault="00000000">
            <w:pPr>
              <w:rPr>
                <w:rFonts w:ascii="Arial" w:hAnsi="Arial" w:cs="Arial"/>
              </w:rPr>
            </w:pPr>
            <w:r w:rsidRPr="0071434C">
              <w:rPr>
                <w:rFonts w:ascii="Arial" w:hAnsi="Arial" w:cs="Arial"/>
                <w:color w:val="000000"/>
              </w:rPr>
              <w:t>Métricas y salud</w:t>
            </w:r>
          </w:p>
        </w:tc>
        <w:tc>
          <w:tcPr>
            <w:tcW w:w="3450" w:type="dxa"/>
            <w:shd w:val="clear" w:color="auto" w:fill="FFFFFF"/>
            <w:tcMar>
              <w:top w:w="80" w:type="dxa"/>
              <w:left w:w="100" w:type="dxa"/>
              <w:bottom w:w="80" w:type="dxa"/>
              <w:right w:w="100" w:type="dxa"/>
            </w:tcMar>
            <w:vAlign w:val="center"/>
          </w:tcPr>
          <w:p w14:paraId="174D61AF" w14:textId="77777777" w:rsidR="00416B41" w:rsidRPr="0071434C" w:rsidRDefault="00000000">
            <w:pPr>
              <w:rPr>
                <w:rFonts w:ascii="Arial" w:hAnsi="Arial" w:cs="Arial"/>
              </w:rPr>
            </w:pPr>
            <w:r w:rsidRPr="0071434C">
              <w:rPr>
                <w:rFonts w:ascii="Arial" w:hAnsi="Arial" w:cs="Arial"/>
                <w:color w:val="000000"/>
              </w:rPr>
              <w:t>Mapa de calor de vulnerabilidades, tendencias históricas y cumplimiento ISO 27001</w:t>
            </w:r>
          </w:p>
        </w:tc>
        <w:tc>
          <w:tcPr>
            <w:tcW w:w="3450" w:type="dxa"/>
            <w:shd w:val="clear" w:color="auto" w:fill="FFFFFF"/>
            <w:tcMar>
              <w:top w:w="80" w:type="dxa"/>
              <w:left w:w="100" w:type="dxa"/>
              <w:bottom w:w="80" w:type="dxa"/>
              <w:right w:w="100" w:type="dxa"/>
            </w:tcMar>
            <w:vAlign w:val="center"/>
          </w:tcPr>
          <w:p w14:paraId="0EA925A2" w14:textId="77777777" w:rsidR="00416B41" w:rsidRPr="0071434C" w:rsidRDefault="00000000">
            <w:pPr>
              <w:rPr>
                <w:rFonts w:ascii="Arial" w:hAnsi="Arial" w:cs="Arial"/>
              </w:rPr>
            </w:pPr>
            <w:r w:rsidRPr="0071434C">
              <w:rPr>
                <w:rFonts w:ascii="Arial" w:hAnsi="Arial" w:cs="Arial"/>
                <w:color w:val="000000"/>
              </w:rPr>
              <w:t>Security Health Score, deuda técnica y cumplimiento de SLAs</w:t>
            </w:r>
          </w:p>
        </w:tc>
      </w:tr>
      <w:tr w:rsidR="00416B41" w:rsidRPr="0071434C" w14:paraId="5D20E36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32AC287" w14:textId="77777777" w:rsidR="00416B41" w:rsidRPr="0071434C" w:rsidRDefault="00000000">
            <w:pPr>
              <w:rPr>
                <w:rFonts w:ascii="Arial" w:hAnsi="Arial" w:cs="Arial"/>
              </w:rPr>
            </w:pPr>
            <w:r w:rsidRPr="0071434C">
              <w:rPr>
                <w:rFonts w:ascii="Arial" w:hAnsi="Arial" w:cs="Arial"/>
                <w:color w:val="000000"/>
              </w:rPr>
              <w:t>Informes y cumplimiento</w:t>
            </w:r>
          </w:p>
        </w:tc>
        <w:tc>
          <w:tcPr>
            <w:tcW w:w="3450" w:type="dxa"/>
            <w:shd w:val="clear" w:color="auto" w:fill="F2F2F2"/>
            <w:tcMar>
              <w:top w:w="80" w:type="dxa"/>
              <w:left w:w="100" w:type="dxa"/>
              <w:bottom w:w="80" w:type="dxa"/>
              <w:right w:w="100" w:type="dxa"/>
            </w:tcMar>
            <w:vAlign w:val="center"/>
          </w:tcPr>
          <w:p w14:paraId="4A75B9E4" w14:textId="77777777" w:rsidR="00416B41" w:rsidRPr="0071434C" w:rsidRDefault="00000000">
            <w:pPr>
              <w:rPr>
                <w:rFonts w:ascii="Arial" w:hAnsi="Arial" w:cs="Arial"/>
              </w:rPr>
            </w:pPr>
            <w:r w:rsidRPr="0071434C">
              <w:rPr>
                <w:rFonts w:ascii="Arial" w:hAnsi="Arial" w:cs="Arial"/>
                <w:color w:val="000000"/>
              </w:rPr>
              <w:t>Generación y descarga de paquetes de evidencia ISO 27001 (ZIP) y reportes ejecutivos</w:t>
            </w:r>
          </w:p>
        </w:tc>
        <w:tc>
          <w:tcPr>
            <w:tcW w:w="3450" w:type="dxa"/>
            <w:shd w:val="clear" w:color="auto" w:fill="F2F2F2"/>
            <w:tcMar>
              <w:top w:w="80" w:type="dxa"/>
              <w:left w:w="100" w:type="dxa"/>
              <w:bottom w:w="80" w:type="dxa"/>
              <w:right w:w="100" w:type="dxa"/>
            </w:tcMar>
            <w:vAlign w:val="center"/>
          </w:tcPr>
          <w:p w14:paraId="21693B9E" w14:textId="77777777" w:rsidR="00416B41" w:rsidRPr="0071434C" w:rsidRDefault="00000000">
            <w:pPr>
              <w:rPr>
                <w:rFonts w:ascii="Arial" w:hAnsi="Arial" w:cs="Arial"/>
              </w:rPr>
            </w:pPr>
            <w:r w:rsidRPr="0071434C">
              <w:rPr>
                <w:rFonts w:ascii="Arial" w:hAnsi="Arial" w:cs="Arial"/>
                <w:color w:val="000000"/>
              </w:rPr>
              <w:t>Envío rápido de reportes de estado por canales corporativos</w:t>
            </w:r>
          </w:p>
        </w:tc>
      </w:tr>
    </w:tbl>
    <w:p w14:paraId="51C1D44B" w14:textId="77777777" w:rsidR="00416B41" w:rsidRPr="0071434C" w:rsidRDefault="00000000">
      <w:pPr>
        <w:pStyle w:val="Ttulo1"/>
        <w:pBdr>
          <w:bottom w:val="single" w:sz="6" w:space="4" w:color="2E74B5"/>
        </w:pBdr>
        <w:spacing w:before="400" w:after="200"/>
        <w:rPr>
          <w:rFonts w:ascii="Arial" w:hAnsi="Arial" w:cs="Arial"/>
        </w:rPr>
      </w:pPr>
      <w:r w:rsidRPr="0071434C">
        <w:rPr>
          <w:rFonts w:ascii="Arial" w:hAnsi="Arial" w:cs="Arial"/>
          <w:b/>
          <w:bCs/>
          <w:color w:val="1F3864"/>
          <w:sz w:val="30"/>
          <w:szCs w:val="30"/>
        </w:rPr>
        <w:t>6. Flujo Operativo de Extremo a Extremo</w:t>
      </w:r>
    </w:p>
    <w:p w14:paraId="13FA1937" w14:textId="77777777" w:rsidR="00416B41" w:rsidRPr="0071434C" w:rsidRDefault="00000000">
      <w:pPr>
        <w:shd w:val="clear" w:color="auto" w:fill="DDEBF7"/>
        <w:spacing w:before="200" w:after="60"/>
        <w:rPr>
          <w:rFonts w:ascii="Arial" w:hAnsi="Arial" w:cs="Arial"/>
        </w:rPr>
      </w:pPr>
      <w:r w:rsidRPr="0071434C">
        <w:rPr>
          <w:rFonts w:ascii="Arial" w:hAnsi="Arial" w:cs="Arial"/>
          <w:b/>
          <w:bCs/>
          <w:color w:val="1F3864"/>
          <w:sz w:val="22"/>
          <w:szCs w:val="22"/>
        </w:rPr>
        <w:t xml:space="preserve">  1. Disparador (Trigger)</w:t>
      </w:r>
    </w:p>
    <w:p w14:paraId="7CA60FE5" w14:textId="77777777" w:rsidR="00416B41" w:rsidRPr="0071434C" w:rsidRDefault="00000000">
      <w:pPr>
        <w:spacing w:after="70"/>
        <w:ind w:left="431"/>
        <w:rPr>
          <w:rFonts w:ascii="Arial" w:hAnsi="Arial" w:cs="Arial"/>
        </w:rPr>
      </w:pPr>
      <w:r w:rsidRPr="0071434C">
        <w:rPr>
          <w:rFonts w:ascii="Arial" w:hAnsi="Arial" w:cs="Arial"/>
          <w:sz w:val="21"/>
          <w:szCs w:val="21"/>
        </w:rPr>
        <w:t>• Webhook de Git (push/PR) o solicitud manual desde la Web/Móvil</w:t>
      </w:r>
    </w:p>
    <w:p w14:paraId="09BCB7E2" w14:textId="77777777" w:rsidR="00416B41" w:rsidRPr="0071434C" w:rsidRDefault="00000000">
      <w:pPr>
        <w:spacing w:after="70"/>
        <w:ind w:left="431"/>
        <w:rPr>
          <w:rFonts w:ascii="Arial" w:hAnsi="Arial" w:cs="Arial"/>
        </w:rPr>
      </w:pPr>
      <w:r w:rsidRPr="0071434C">
        <w:rPr>
          <w:rFonts w:ascii="Arial" w:hAnsi="Arial" w:cs="Arial"/>
          <w:sz w:val="21"/>
          <w:szCs w:val="21"/>
        </w:rPr>
        <w:t>• FastAPI valida credenciales, crea el registro del escaneo y encola el trabajo en Redis</w:t>
      </w:r>
    </w:p>
    <w:p w14:paraId="27E71DF6" w14:textId="77777777" w:rsidR="00416B41" w:rsidRPr="0071434C" w:rsidRDefault="00000000">
      <w:pPr>
        <w:shd w:val="clear" w:color="auto" w:fill="DDEBF7"/>
        <w:spacing w:before="200" w:after="60"/>
        <w:rPr>
          <w:rFonts w:ascii="Arial" w:hAnsi="Arial" w:cs="Arial"/>
        </w:rPr>
      </w:pPr>
      <w:r w:rsidRPr="0071434C">
        <w:rPr>
          <w:rFonts w:ascii="Arial" w:hAnsi="Arial" w:cs="Arial"/>
          <w:b/>
          <w:bCs/>
          <w:color w:val="1F3864"/>
          <w:sz w:val="22"/>
          <w:szCs w:val="22"/>
        </w:rPr>
        <w:t xml:space="preserve">  2. Ejecución paralela (Worker ARQ en Docker)</w:t>
      </w:r>
    </w:p>
    <w:p w14:paraId="68753D6F" w14:textId="77777777" w:rsidR="00416B41" w:rsidRPr="0071434C" w:rsidRDefault="00000000">
      <w:pPr>
        <w:spacing w:after="70"/>
        <w:ind w:left="431"/>
        <w:rPr>
          <w:rFonts w:ascii="Arial" w:hAnsi="Arial" w:cs="Arial"/>
        </w:rPr>
      </w:pPr>
      <w:r w:rsidRPr="0071434C">
        <w:rPr>
          <w:rFonts w:ascii="Arial" w:hAnsi="Arial" w:cs="Arial"/>
          <w:sz w:val="21"/>
          <w:szCs w:val="21"/>
        </w:rPr>
        <w:t>• Clona el repositorio en un volumen aislado y efímero</w:t>
      </w:r>
    </w:p>
    <w:p w14:paraId="74C2A7B5" w14:textId="77777777" w:rsidR="00416B41" w:rsidRPr="0071434C" w:rsidRDefault="00000000">
      <w:pPr>
        <w:spacing w:after="70"/>
        <w:ind w:left="431"/>
        <w:rPr>
          <w:rFonts w:ascii="Arial" w:hAnsi="Arial" w:cs="Arial"/>
        </w:rPr>
      </w:pPr>
      <w:r w:rsidRPr="0071434C">
        <w:rPr>
          <w:rFonts w:ascii="Arial" w:hAnsi="Arial" w:cs="Arial"/>
          <w:sz w:val="21"/>
          <w:szCs w:val="21"/>
        </w:rPr>
        <w:t>• Ejecuta en paralelo Semgrep (SAST), Trivy (SCA/IaC) y GitLeaks (secretos)</w:t>
      </w:r>
    </w:p>
    <w:p w14:paraId="6AA8C988" w14:textId="77777777" w:rsidR="00416B41" w:rsidRPr="0071434C" w:rsidRDefault="00000000">
      <w:pPr>
        <w:spacing w:after="70"/>
        <w:ind w:left="431"/>
        <w:rPr>
          <w:rFonts w:ascii="Arial" w:hAnsi="Arial" w:cs="Arial"/>
        </w:rPr>
      </w:pPr>
      <w:r w:rsidRPr="0071434C">
        <w:rPr>
          <w:rFonts w:ascii="Arial" w:hAnsi="Arial" w:cs="Arial"/>
          <w:sz w:val="21"/>
          <w:szCs w:val="21"/>
        </w:rPr>
        <w:t>• Recolecta las salidas JSON y unifica los hallazgos bajo un esquema común</w:t>
      </w:r>
    </w:p>
    <w:p w14:paraId="68484D21" w14:textId="77777777" w:rsidR="00416B41" w:rsidRPr="0071434C" w:rsidRDefault="00000000">
      <w:pPr>
        <w:shd w:val="clear" w:color="auto" w:fill="DDEBF7"/>
        <w:spacing w:before="200" w:after="60"/>
        <w:rPr>
          <w:rFonts w:ascii="Arial" w:hAnsi="Arial" w:cs="Arial"/>
        </w:rPr>
      </w:pPr>
      <w:r w:rsidRPr="0071434C">
        <w:rPr>
          <w:rFonts w:ascii="Arial" w:hAnsi="Arial" w:cs="Arial"/>
          <w:b/>
          <w:bCs/>
          <w:color w:val="1F3864"/>
          <w:sz w:val="22"/>
          <w:szCs w:val="22"/>
        </w:rPr>
        <w:t xml:space="preserve">  3. Triaje asistido por IA (</w:t>
      </w:r>
      <w:proofErr w:type="spellStart"/>
      <w:r w:rsidRPr="0071434C">
        <w:rPr>
          <w:rFonts w:ascii="Arial" w:hAnsi="Arial" w:cs="Arial"/>
          <w:b/>
          <w:bCs/>
          <w:color w:val="1F3864"/>
          <w:sz w:val="22"/>
          <w:szCs w:val="22"/>
        </w:rPr>
        <w:t>Agentic</w:t>
      </w:r>
      <w:proofErr w:type="spellEnd"/>
      <w:r w:rsidRPr="0071434C">
        <w:rPr>
          <w:rFonts w:ascii="Arial" w:hAnsi="Arial" w:cs="Arial"/>
          <w:b/>
          <w:bCs/>
          <w:color w:val="1F3864"/>
          <w:sz w:val="22"/>
          <w:szCs w:val="22"/>
        </w:rPr>
        <w:t xml:space="preserve"> </w:t>
      </w:r>
      <w:proofErr w:type="spellStart"/>
      <w:r w:rsidRPr="0071434C">
        <w:rPr>
          <w:rFonts w:ascii="Arial" w:hAnsi="Arial" w:cs="Arial"/>
          <w:b/>
          <w:bCs/>
          <w:color w:val="1F3864"/>
          <w:sz w:val="22"/>
          <w:szCs w:val="22"/>
        </w:rPr>
        <w:t>Router</w:t>
      </w:r>
      <w:proofErr w:type="spellEnd"/>
      <w:r w:rsidRPr="0071434C">
        <w:rPr>
          <w:rFonts w:ascii="Arial" w:hAnsi="Arial" w:cs="Arial"/>
          <w:b/>
          <w:bCs/>
          <w:color w:val="1F3864"/>
          <w:sz w:val="22"/>
          <w:szCs w:val="22"/>
        </w:rPr>
        <w:t>)</w:t>
      </w:r>
    </w:p>
    <w:p w14:paraId="38C3EC51" w14:textId="77777777" w:rsidR="00416B41" w:rsidRPr="0071434C" w:rsidRDefault="00000000">
      <w:pPr>
        <w:spacing w:after="70"/>
        <w:ind w:left="431"/>
        <w:rPr>
          <w:rFonts w:ascii="Arial" w:hAnsi="Arial" w:cs="Arial"/>
        </w:rPr>
      </w:pPr>
      <w:r w:rsidRPr="0071434C">
        <w:rPr>
          <w:rFonts w:ascii="Arial" w:hAnsi="Arial" w:cs="Arial"/>
          <w:sz w:val="21"/>
          <w:szCs w:val="21"/>
        </w:rPr>
        <w:t>• El agente evalúa los hallazgos críticos, descarta falsos positivos evidentes</w:t>
      </w:r>
    </w:p>
    <w:p w14:paraId="4F4DA688" w14:textId="77777777" w:rsidR="00416B41" w:rsidRPr="0071434C" w:rsidRDefault="00000000">
      <w:pPr>
        <w:spacing w:after="70"/>
        <w:ind w:left="431"/>
        <w:rPr>
          <w:rFonts w:ascii="Arial" w:hAnsi="Arial" w:cs="Arial"/>
        </w:rPr>
      </w:pPr>
      <w:r w:rsidRPr="0071434C">
        <w:rPr>
          <w:rFonts w:ascii="Arial" w:hAnsi="Arial" w:cs="Arial"/>
          <w:sz w:val="21"/>
          <w:szCs w:val="21"/>
        </w:rPr>
        <w:t>• Redacta la recomendación técnica y el resumen de impacto</w:t>
      </w:r>
    </w:p>
    <w:p w14:paraId="70FA97B4" w14:textId="77777777" w:rsidR="00416B41" w:rsidRPr="0071434C" w:rsidRDefault="00000000">
      <w:pPr>
        <w:shd w:val="clear" w:color="auto" w:fill="DDEBF7"/>
        <w:spacing w:before="200" w:after="60"/>
        <w:rPr>
          <w:rFonts w:ascii="Arial" w:hAnsi="Arial" w:cs="Arial"/>
        </w:rPr>
      </w:pPr>
      <w:r w:rsidRPr="0071434C">
        <w:rPr>
          <w:rFonts w:ascii="Arial" w:hAnsi="Arial" w:cs="Arial"/>
          <w:b/>
          <w:bCs/>
          <w:color w:val="1F3864"/>
          <w:sz w:val="22"/>
          <w:szCs w:val="22"/>
        </w:rPr>
        <w:t xml:space="preserve">  4. Notificación y persistencia</w:t>
      </w:r>
    </w:p>
    <w:p w14:paraId="589ACE99" w14:textId="77777777" w:rsidR="00416B41" w:rsidRPr="0071434C" w:rsidRDefault="00000000">
      <w:pPr>
        <w:spacing w:after="70"/>
        <w:ind w:left="431"/>
        <w:rPr>
          <w:rFonts w:ascii="Arial" w:hAnsi="Arial" w:cs="Arial"/>
        </w:rPr>
      </w:pPr>
      <w:r w:rsidRPr="0071434C">
        <w:rPr>
          <w:rFonts w:ascii="Arial" w:hAnsi="Arial" w:cs="Arial"/>
          <w:sz w:val="21"/>
          <w:szCs w:val="21"/>
        </w:rPr>
        <w:t>• Guarda los hallazgos en PostgreSQL con estado 'OPEN'</w:t>
      </w:r>
    </w:p>
    <w:p w14:paraId="45F4A750" w14:textId="77777777" w:rsidR="00416B41" w:rsidRPr="0071434C" w:rsidRDefault="00000000">
      <w:pPr>
        <w:spacing w:after="70"/>
        <w:ind w:left="431"/>
        <w:rPr>
          <w:rFonts w:ascii="Arial" w:hAnsi="Arial" w:cs="Arial"/>
        </w:rPr>
      </w:pPr>
      <w:r w:rsidRPr="0071434C">
        <w:rPr>
          <w:rFonts w:ascii="Arial" w:hAnsi="Arial" w:cs="Arial"/>
          <w:sz w:val="21"/>
          <w:szCs w:val="21"/>
        </w:rPr>
        <w:t>• Si hay hallazgos 'CRITICAL' o secretos expuestos, dispara un push vía FCM a la app móvil</w:t>
      </w:r>
    </w:p>
    <w:p w14:paraId="55C378D6" w14:textId="77777777" w:rsidR="00416B41" w:rsidRPr="0071434C" w:rsidRDefault="00000000">
      <w:pPr>
        <w:shd w:val="clear" w:color="auto" w:fill="DDEBF7"/>
        <w:spacing w:before="200" w:after="60"/>
        <w:rPr>
          <w:rFonts w:ascii="Arial" w:hAnsi="Arial" w:cs="Arial"/>
        </w:rPr>
      </w:pPr>
      <w:r w:rsidRPr="0071434C">
        <w:rPr>
          <w:rFonts w:ascii="Arial" w:hAnsi="Arial" w:cs="Arial"/>
          <w:b/>
          <w:bCs/>
          <w:color w:val="1F3864"/>
          <w:sz w:val="22"/>
          <w:szCs w:val="22"/>
        </w:rPr>
        <w:t xml:space="preserve">  5. Resolución y gobernanza</w:t>
      </w:r>
    </w:p>
    <w:p w14:paraId="46FF7C3D" w14:textId="77777777" w:rsidR="00416B41" w:rsidRPr="0071434C" w:rsidRDefault="00000000">
      <w:pPr>
        <w:spacing w:after="70"/>
        <w:ind w:left="431"/>
        <w:rPr>
          <w:rFonts w:ascii="Arial" w:hAnsi="Arial" w:cs="Arial"/>
        </w:rPr>
      </w:pPr>
      <w:r w:rsidRPr="0071434C">
        <w:rPr>
          <w:rFonts w:ascii="Arial" w:hAnsi="Arial" w:cs="Arial"/>
          <w:sz w:val="21"/>
          <w:szCs w:val="21"/>
        </w:rPr>
        <w:t>• El desarrollador revisa el detalle y la sugerencia de IA en el Web Hub</w:t>
      </w:r>
    </w:p>
    <w:p w14:paraId="524E0979" w14:textId="77777777" w:rsidR="00416B41" w:rsidRPr="0071434C" w:rsidRDefault="00000000">
      <w:pPr>
        <w:spacing w:after="70"/>
        <w:ind w:left="431"/>
        <w:rPr>
          <w:rFonts w:ascii="Arial" w:hAnsi="Arial" w:cs="Arial"/>
        </w:rPr>
      </w:pPr>
      <w:r w:rsidRPr="0071434C">
        <w:rPr>
          <w:rFonts w:ascii="Arial" w:hAnsi="Arial" w:cs="Arial"/>
          <w:sz w:val="21"/>
          <w:szCs w:val="21"/>
        </w:rPr>
        <w:t>• Si el pipeline de CI/CD está bloqueado, el CISO/Lead aprueba o rechaza el bypass en la app</w:t>
      </w:r>
    </w:p>
    <w:p w14:paraId="16CE5494" w14:textId="77777777" w:rsidR="00416B41" w:rsidRPr="0071434C" w:rsidRDefault="00000000">
      <w:pPr>
        <w:spacing w:after="70"/>
        <w:ind w:left="431"/>
        <w:rPr>
          <w:rFonts w:ascii="Arial" w:hAnsi="Arial" w:cs="Arial"/>
        </w:rPr>
      </w:pPr>
      <w:r w:rsidRPr="0071434C">
        <w:rPr>
          <w:rFonts w:ascii="Arial" w:hAnsi="Arial" w:cs="Arial"/>
          <w:sz w:val="21"/>
          <w:szCs w:val="21"/>
        </w:rPr>
        <w:t>• El estado del hallazgo transiciona a 'FIXED' o 'VERIFIED' y se actualiza el Health Score</w:t>
      </w:r>
    </w:p>
    <w:p w14:paraId="048F81A5" w14:textId="77777777" w:rsidR="00416B41" w:rsidRPr="0071434C" w:rsidRDefault="00000000">
      <w:pPr>
        <w:pStyle w:val="Ttulo1"/>
        <w:pBdr>
          <w:bottom w:val="single" w:sz="6" w:space="4" w:color="2E74B5"/>
        </w:pBdr>
        <w:spacing w:before="400" w:after="200"/>
        <w:rPr>
          <w:rFonts w:ascii="Arial" w:hAnsi="Arial" w:cs="Arial"/>
        </w:rPr>
      </w:pPr>
      <w:r w:rsidRPr="0071434C">
        <w:rPr>
          <w:rFonts w:ascii="Arial" w:hAnsi="Arial" w:cs="Arial"/>
          <w:b/>
          <w:bCs/>
          <w:color w:val="1F3864"/>
          <w:sz w:val="30"/>
          <w:szCs w:val="30"/>
        </w:rPr>
        <w:t>7. Plan de Aseguramiento de Calidad y DevSecOps Interno</w:t>
      </w:r>
    </w:p>
    <w:p w14:paraId="106D3C2F" w14:textId="77777777" w:rsidR="00416B41" w:rsidRPr="0071434C" w:rsidRDefault="00000000">
      <w:pPr>
        <w:spacing w:after="160" w:line="276" w:lineRule="auto"/>
        <w:rPr>
          <w:rFonts w:ascii="Arial" w:hAnsi="Arial" w:cs="Arial"/>
        </w:rPr>
      </w:pPr>
      <w:r w:rsidRPr="0071434C">
        <w:rPr>
          <w:rFonts w:ascii="Arial" w:hAnsi="Arial" w:cs="Arial"/>
          <w:sz w:val="22"/>
          <w:szCs w:val="22"/>
        </w:rPr>
        <w:t>Para asegurar que SSPILLOWY cumpla con los mismos estándares que audita, se implementan tres niveles de control:</w:t>
      </w:r>
    </w:p>
    <w:p w14:paraId="49AA951D" w14:textId="77777777" w:rsidR="00416B41" w:rsidRPr="0071434C" w:rsidRDefault="00000000">
      <w:pPr>
        <w:pStyle w:val="Prrafodelista"/>
        <w:numPr>
          <w:ilvl w:val="0"/>
          <w:numId w:val="2"/>
        </w:numPr>
        <w:spacing w:after="90"/>
        <w:rPr>
          <w:rFonts w:ascii="Arial" w:hAnsi="Arial" w:cs="Arial"/>
        </w:rPr>
      </w:pPr>
      <w:r w:rsidRPr="0071434C">
        <w:rPr>
          <w:rFonts w:ascii="Arial" w:hAnsi="Arial" w:cs="Arial"/>
          <w:b/>
          <w:bCs/>
          <w:color w:val="1F3864"/>
          <w:sz w:val="22"/>
          <w:szCs w:val="22"/>
        </w:rPr>
        <w:lastRenderedPageBreak/>
        <w:t xml:space="preserve">Pipeline de Integración Continua (CI): </w:t>
      </w:r>
      <w:r w:rsidRPr="0071434C">
        <w:rPr>
          <w:rFonts w:ascii="Arial" w:hAnsi="Arial" w:cs="Arial"/>
          <w:sz w:val="22"/>
          <w:szCs w:val="22"/>
        </w:rPr>
        <w:t>cada pull request del equipo es analizado por SonarQube para asegurar cobertura de código y ausencia de vulnerabilidades internas antes de la integración.</w:t>
      </w:r>
    </w:p>
    <w:p w14:paraId="302762A9" w14:textId="77777777" w:rsidR="00416B41" w:rsidRPr="0071434C" w:rsidRDefault="00000000">
      <w:pPr>
        <w:pStyle w:val="Prrafodelista"/>
        <w:numPr>
          <w:ilvl w:val="0"/>
          <w:numId w:val="2"/>
        </w:numPr>
        <w:spacing w:after="90"/>
        <w:rPr>
          <w:rFonts w:ascii="Arial" w:hAnsi="Arial" w:cs="Arial"/>
        </w:rPr>
      </w:pPr>
      <w:r w:rsidRPr="0071434C">
        <w:rPr>
          <w:rFonts w:ascii="Arial" w:hAnsi="Arial" w:cs="Arial"/>
          <w:b/>
          <w:bCs/>
          <w:color w:val="1F3864"/>
          <w:sz w:val="22"/>
          <w:szCs w:val="22"/>
        </w:rPr>
        <w:t xml:space="preserve">Pruebas de carga y resiliencia: </w:t>
      </w:r>
      <w:r w:rsidRPr="0071434C">
        <w:rPr>
          <w:rFonts w:ascii="Arial" w:hAnsi="Arial" w:cs="Arial"/>
          <w:sz w:val="22"/>
          <w:szCs w:val="22"/>
        </w:rPr>
        <w:t>baterías de pruebas automatizadas con Apache JMeter que simulan múltiples escaneos concurrentes contra repositorios de gran tamaño, verificando que los workers de ARQ liberen memoria y no saturen el servidor PostgreSQL.</w:t>
      </w:r>
    </w:p>
    <w:p w14:paraId="7200C129" w14:textId="77777777" w:rsidR="00416B41" w:rsidRPr="0071434C" w:rsidRDefault="00000000">
      <w:pPr>
        <w:pStyle w:val="Prrafodelista"/>
        <w:numPr>
          <w:ilvl w:val="0"/>
          <w:numId w:val="2"/>
        </w:numPr>
        <w:spacing w:after="90"/>
        <w:rPr>
          <w:rFonts w:ascii="Arial" w:hAnsi="Arial" w:cs="Arial"/>
        </w:rPr>
      </w:pPr>
      <w:r w:rsidRPr="0071434C">
        <w:rPr>
          <w:rFonts w:ascii="Arial" w:hAnsi="Arial" w:cs="Arial"/>
          <w:b/>
          <w:bCs/>
          <w:color w:val="1F3864"/>
          <w:sz w:val="22"/>
          <w:szCs w:val="22"/>
        </w:rPr>
        <w:t xml:space="preserve">Escaneo recursivo: </w:t>
      </w:r>
      <w:r w:rsidRPr="0071434C">
        <w:rPr>
          <w:rFonts w:ascii="Arial" w:hAnsi="Arial" w:cs="Arial"/>
          <w:sz w:val="22"/>
          <w:szCs w:val="22"/>
        </w:rPr>
        <w:t>las imágenes Docker oficiales de SSPILLOWY son auditadas periódicamente con Trivy para garantizar que el entorno de ejecución no contenga dependencias obsoletas ni vulnerabilidades en el sistema operativo base.</w:t>
      </w:r>
    </w:p>
    <w:sectPr w:rsidR="00416B41" w:rsidRPr="0071434C">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A6170"/>
    <w:multiLevelType w:val="hybridMultilevel"/>
    <w:tmpl w:val="A1329372"/>
    <w:lvl w:ilvl="0" w:tplc="F66043EE">
      <w:start w:val="1"/>
      <w:numFmt w:val="bullet"/>
      <w:lvlText w:val="•"/>
      <w:lvlJc w:val="left"/>
      <w:pPr>
        <w:ind w:left="504" w:hanging="288"/>
      </w:pPr>
    </w:lvl>
    <w:lvl w:ilvl="1" w:tplc="85268A86">
      <w:numFmt w:val="decimal"/>
      <w:lvlText w:val=""/>
      <w:lvlJc w:val="left"/>
    </w:lvl>
    <w:lvl w:ilvl="2" w:tplc="9FF88BC6">
      <w:numFmt w:val="decimal"/>
      <w:lvlText w:val=""/>
      <w:lvlJc w:val="left"/>
    </w:lvl>
    <w:lvl w:ilvl="3" w:tplc="B0BC8D96">
      <w:numFmt w:val="decimal"/>
      <w:lvlText w:val=""/>
      <w:lvlJc w:val="left"/>
    </w:lvl>
    <w:lvl w:ilvl="4" w:tplc="30B87246">
      <w:numFmt w:val="decimal"/>
      <w:lvlText w:val=""/>
      <w:lvlJc w:val="left"/>
    </w:lvl>
    <w:lvl w:ilvl="5" w:tplc="5FA6B7D8">
      <w:numFmt w:val="decimal"/>
      <w:lvlText w:val=""/>
      <w:lvlJc w:val="left"/>
    </w:lvl>
    <w:lvl w:ilvl="6" w:tplc="88C2ECB6">
      <w:numFmt w:val="decimal"/>
      <w:lvlText w:val=""/>
      <w:lvlJc w:val="left"/>
    </w:lvl>
    <w:lvl w:ilvl="7" w:tplc="8E328900">
      <w:numFmt w:val="decimal"/>
      <w:lvlText w:val=""/>
      <w:lvlJc w:val="left"/>
    </w:lvl>
    <w:lvl w:ilvl="8" w:tplc="3E1AF6F0">
      <w:numFmt w:val="decimal"/>
      <w:lvlText w:val=""/>
      <w:lvlJc w:val="left"/>
    </w:lvl>
  </w:abstractNum>
  <w:abstractNum w:abstractNumId="1" w15:restartNumberingAfterBreak="0">
    <w:nsid w:val="794408EC"/>
    <w:multiLevelType w:val="hybridMultilevel"/>
    <w:tmpl w:val="B3B6C5D8"/>
    <w:lvl w:ilvl="0" w:tplc="81029124">
      <w:start w:val="1"/>
      <w:numFmt w:val="bullet"/>
      <w:lvlText w:val="●"/>
      <w:lvlJc w:val="left"/>
      <w:pPr>
        <w:ind w:left="720" w:hanging="360"/>
      </w:pPr>
    </w:lvl>
    <w:lvl w:ilvl="1" w:tplc="91640E1C">
      <w:start w:val="1"/>
      <w:numFmt w:val="bullet"/>
      <w:lvlText w:val="○"/>
      <w:lvlJc w:val="left"/>
      <w:pPr>
        <w:ind w:left="1440" w:hanging="360"/>
      </w:pPr>
    </w:lvl>
    <w:lvl w:ilvl="2" w:tplc="A57278B4">
      <w:start w:val="1"/>
      <w:numFmt w:val="bullet"/>
      <w:lvlText w:val="■"/>
      <w:lvlJc w:val="left"/>
      <w:pPr>
        <w:ind w:left="2160" w:hanging="360"/>
      </w:pPr>
    </w:lvl>
    <w:lvl w:ilvl="3" w:tplc="1D4AE862">
      <w:start w:val="1"/>
      <w:numFmt w:val="bullet"/>
      <w:lvlText w:val="●"/>
      <w:lvlJc w:val="left"/>
      <w:pPr>
        <w:ind w:left="2880" w:hanging="360"/>
      </w:pPr>
    </w:lvl>
    <w:lvl w:ilvl="4" w:tplc="7FA8F378">
      <w:start w:val="1"/>
      <w:numFmt w:val="bullet"/>
      <w:lvlText w:val="○"/>
      <w:lvlJc w:val="left"/>
      <w:pPr>
        <w:ind w:left="3600" w:hanging="360"/>
      </w:pPr>
    </w:lvl>
    <w:lvl w:ilvl="5" w:tplc="C28ADC98">
      <w:start w:val="1"/>
      <w:numFmt w:val="bullet"/>
      <w:lvlText w:val="■"/>
      <w:lvlJc w:val="left"/>
      <w:pPr>
        <w:ind w:left="4320" w:hanging="360"/>
      </w:pPr>
    </w:lvl>
    <w:lvl w:ilvl="6" w:tplc="4C246866">
      <w:start w:val="1"/>
      <w:numFmt w:val="bullet"/>
      <w:lvlText w:val="●"/>
      <w:lvlJc w:val="left"/>
      <w:pPr>
        <w:ind w:left="5040" w:hanging="360"/>
      </w:pPr>
    </w:lvl>
    <w:lvl w:ilvl="7" w:tplc="6EC620FE">
      <w:start w:val="1"/>
      <w:numFmt w:val="bullet"/>
      <w:lvlText w:val="●"/>
      <w:lvlJc w:val="left"/>
      <w:pPr>
        <w:ind w:left="5760" w:hanging="360"/>
      </w:pPr>
    </w:lvl>
    <w:lvl w:ilvl="8" w:tplc="38CAF520">
      <w:start w:val="1"/>
      <w:numFmt w:val="bullet"/>
      <w:lvlText w:val="●"/>
      <w:lvlJc w:val="left"/>
      <w:pPr>
        <w:ind w:left="6480" w:hanging="360"/>
      </w:pPr>
    </w:lvl>
  </w:abstractNum>
  <w:num w:numId="1" w16cid:durableId="568468458">
    <w:abstractNumId w:val="1"/>
    <w:lvlOverride w:ilvl="0">
      <w:startOverride w:val="1"/>
    </w:lvlOverride>
  </w:num>
  <w:num w:numId="2" w16cid:durableId="6276632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B41"/>
    <w:rsid w:val="000771A8"/>
    <w:rsid w:val="00416B41"/>
    <w:rsid w:val="0071434C"/>
    <w:rsid w:val="0099206F"/>
    <w:rsid w:val="00CF07FB"/>
    <w:rsid w:val="00E12A2D"/>
    <w:rsid w:val="00F13EE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25FAE"/>
  <w15:docId w15:val="{83A5ED9C-225F-4DD2-B3FB-22E822319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1430</Words>
  <Characters>7865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NICOLAS TRALMA BUSTAMANTE</cp:lastModifiedBy>
  <cp:revision>5</cp:revision>
  <dcterms:created xsi:type="dcterms:W3CDTF">2026-08-21T01:27:00Z</dcterms:created>
  <dcterms:modified xsi:type="dcterms:W3CDTF">2026-08-21T01:43:00Z</dcterms:modified>
</cp:coreProperties>
</file>