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iego-docx"/>
    <w:p>
      <w:pPr>
        <w:pStyle w:val="Heading1"/>
      </w:pPr>
      <w:r>
        <w:t xml:space="preserve">Pliego DOCX</w:t>
      </w:r>
    </w:p>
    <w:p>
      <w:pPr>
        <w:pStyle w:val="FirstParagraph"/>
      </w:pPr>
      <w:r>
        <w:t xml:space="preserve">Suministro de</w:t>
      </w:r>
      <w:r>
        <w:t xml:space="preserve"> </w:t>
      </w:r>
      <w:r>
        <w:rPr>
          <w:b/>
          <w:bCs/>
        </w:rPr>
        <w:t xml:space="preserve">mamparas de aluminio</w:t>
      </w:r>
      <w:r>
        <w:t xml:space="preserve"> </w:t>
      </w:r>
      <w:r>
        <w:t xml:space="preserve">con vidrio templado.</w:t>
      </w:r>
    </w:p>
    <w:p>
      <w:pPr>
        <w:pStyle w:val="BodyText"/>
      </w:pPr>
      <w:r>
        <w:t xml:space="preserve">Visita obligatoria: coordinar al 1950 int 1234.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2026-10-09T23:13:53Z</dcterms:created>
  <dcterms:modified xsi:type="dcterms:W3CDTF">2026-10-09T23:13:53Z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