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1019810</wp:posOffset>
            </wp:positionH>
            <wp:positionV relativeFrom="paragraph">
              <wp:posOffset>12700</wp:posOffset>
            </wp:positionV>
            <wp:extent cx="3903980" cy="838200"/>
            <wp:effectExtent b="0" l="0" r="0" t="0"/>
            <wp:wrapSquare wrapText="bothSides" distB="0" distT="0" distL="114300" distR="114300"/>
            <wp:docPr descr="http://www.duoc.cl/normasgraficas/normasgraficas/marca-duoc/6logo-fondo-transparente/fondo-transparente.png" id="809295520" name="image1.png"/>
            <a:graphic>
              <a:graphicData uri="http://schemas.openxmlformats.org/drawingml/2006/picture">
                <pic:pic>
                  <pic:nvPicPr>
                    <pic:cNvPr descr="http://www.duoc.cl/normasgraficas/normasgraficas/marca-duoc/6logo-fondo-transparente/fondo-transparent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6591"/>
        <w:tblW w:w="9360.0" w:type="dxa"/>
        <w:jc w:val="left"/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3">
            <w:pPr>
              <w:spacing w:after="40" w:line="264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spacing w:after="40" w:line="264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Matías Catalán · Sebastián Fierro · Amaro Méndez  · Alejandro Ruz de Viñaspre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spacing w:after="40" w:line="264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40" w:line="264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github.com/Sebafierro/NEXO (rama analizada: develop; rama base: main)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40" w:line="264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Stack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40" w:line="264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Next.js 16 · React 19 · TypeScript · Tailwind CSS v4 · Supabase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40" w:line="264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40" w:line="264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Informe técnico de la rama develop, generado el 16 de octubre de 2026</w:t>
            </w:r>
          </w:p>
        </w:tc>
      </w:tr>
    </w:tbl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1009968</wp:posOffset>
                </wp:positionV>
                <wp:extent cx="5927725" cy="2005998"/>
                <wp:effectExtent b="0" l="0" r="0" t="0"/>
                <wp:wrapSquare wrapText="bothSides" distB="45720" distT="45720" distL="114300" distR="114300"/>
                <wp:docPr id="809295517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540100" y="2837250"/>
                          <a:ext cx="5611800" cy="188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15e99"/>
                                <w:sz w:val="72"/>
                                <w:vertAlign w:val="baseline"/>
                              </w:rPr>
                              <w:t xml:space="preserve">NEXO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15e99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15e99"/>
                                <w:sz w:val="72"/>
                                <w:vertAlign w:val="baseline"/>
                              </w:rPr>
                              <w:t xml:space="preserve">Informe de avance del proyecto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1009968</wp:posOffset>
                </wp:positionV>
                <wp:extent cx="5927725" cy="2005998"/>
                <wp:effectExtent b="0" l="0" r="0" t="0"/>
                <wp:wrapSquare wrapText="bothSides" distB="45720" distT="45720" distL="114300" distR="114300"/>
                <wp:docPr id="8092955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7725" cy="20059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300" w:lineRule="auto"/>
        <w:jc w:val="both"/>
        <w:rPr/>
      </w:pPr>
      <w:bookmarkStart w:colFirst="0" w:colLast="0" w:name="_heading=h.zhacuhm3p77x" w:id="0"/>
      <w:bookmarkEnd w:id="0"/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1828800</wp:posOffset>
                </wp:positionV>
                <wp:extent cx="6864350" cy="4853334"/>
                <wp:effectExtent b="0" l="0" r="0" t="0"/>
                <wp:wrapNone/>
                <wp:docPr id="8092955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0"/>
                          <a:ext cx="4853334" cy="6864350"/>
                        </a:xfrm>
                        <a:prstGeom prst="rect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1828800</wp:posOffset>
                </wp:positionV>
                <wp:extent cx="6864350" cy="4853334"/>
                <wp:effectExtent b="0" l="0" r="0" t="0"/>
                <wp:wrapNone/>
                <wp:docPr id="8092955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4350" cy="48533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pxl6rp3125k6" w:id="1"/>
      <w:bookmarkEnd w:id="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0">
      <w:pPr>
        <w:keepNext w:val="1"/>
        <w:keepLines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pacing w:before="240" w:line="259" w:lineRule="auto"/>
        <w:rPr>
          <w:rFonts w:ascii="Calibri" w:cs="Calibri" w:eastAsia="Calibri" w:hAnsi="Calibri"/>
          <w:color w:val="0f476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f4761"/>
          <w:sz w:val="32"/>
          <w:szCs w:val="32"/>
          <w:rtl w:val="0"/>
        </w:rPr>
        <w:t xml:space="preserve">Contenido</w:t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2"/>
          <w:szCs w:val="2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5096926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xl6rp3125k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568c91g3mw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njkymma9yw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Qué se ha avanzado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1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nddd0x9t3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Base técnica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1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6hr9foyzk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Base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1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otbufxp9mq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Seguridad en tres capas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1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wlxq9sv14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Autenticación, usuarios y paneles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tc3h5kruf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Estado por módulo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ae8hnbmqc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Avance por rol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4aco94m3g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Pendientes y brechas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1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xntwdhb6oj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La brecha principal: liquidaciones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1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clh6if4he4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Hoja de pendientes por prioridad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o3nyg69b8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Cambios respecto del plan original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shlp041jy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Proceso y control de versiones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wumq1qtt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Entregables académicos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2w9mpmpzs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Riesgos y mitigaciones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g9ae1vnxc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Próximos pasos propuestos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k52yaekdhm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Conclusión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b w:val="1"/>
          <w:bCs w:val="1"/>
          <w:color w:val="6b1a2f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both"/>
        <w:rPr/>
      </w:pPr>
      <w:bookmarkStart w:colFirst="0" w:colLast="0" w:name="_heading=h.a568c91g3mwv" w:id="2"/>
      <w:bookmarkEnd w:id="2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27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 fecha de corte, la rama </w:t>
      </w:r>
      <w:r w:rsidDel="00000000" w:rsidR="00000000" w:rsidRPr="00000000">
        <w:rPr>
          <w:rFonts w:ascii="Consolas" w:cs="Consolas" w:eastAsia="Consolas" w:hAnsi="Consolas"/>
          <w:color w:val="1f4d7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concentra todo el software del proyecto: 17.311 líneas nuevas en 73 archivos respecto de </w:t>
      </w:r>
      <w:r w:rsidDel="00000000" w:rsidR="00000000" w:rsidRPr="00000000">
        <w:rPr>
          <w:rFonts w:ascii="Consolas" w:cs="Consolas" w:eastAsia="Consolas" w:hAnsi="Consolas"/>
          <w:color w:val="1f4d78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, que solo conserva los entregables académicos de la Fase 1. El eje de autenticación, roles y consulta de datos está operativo de punta a punta: inicio de sesión, enrutamiento por rol, refresco de sesión y control de acceso en tres capas (proxy, guardas de página y seguridad a nivel de fila en la base de datos).</w:t>
      </w:r>
    </w:p>
    <w:p w:rsidR="00000000" w:rsidDel="00000000" w:rsidP="00000000" w:rsidRDefault="00000000" w:rsidRPr="00000000" w14:paraId="00000028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principal brecha es el ciclo financiero. La tabla </w:t>
      </w:r>
      <w:r w:rsidDel="00000000" w:rsidR="00000000" w:rsidRPr="00000000">
        <w:rPr>
          <w:rFonts w:ascii="Consolas" w:cs="Consolas" w:eastAsia="Consolas" w:hAnsi="Consolas"/>
          <w:color w:val="1f4d78"/>
          <w:sz w:val="24"/>
          <w:szCs w:val="24"/>
          <w:rtl w:val="0"/>
        </w:rPr>
        <w:t xml:space="preserve">liquidaciones</w:t>
      </w:r>
      <w:r w:rsidDel="00000000" w:rsidR="00000000" w:rsidRPr="00000000">
        <w:rPr>
          <w:sz w:val="24"/>
          <w:szCs w:val="24"/>
          <w:rtl w:val="0"/>
        </w:rPr>
        <w:t xml:space="preserve"> aún no existe (tres pantallas son placeholders), y la conciliación de pagos y la carga con OCR de documentos están modeladas pero sin implementar. El informe técnico registra 28 marcadores TODO repartidos entre el código y el SQL.</w:t>
      </w:r>
    </w:p>
    <w:tbl>
      <w:tblPr>
        <w:tblStyle w:val="Table2"/>
        <w:tblW w:w="9360.0" w:type="dxa"/>
        <w:jc w:val="left"/>
        <w:tblBorders>
          <w:top w:color="1f4d78" w:space="0" w:sz="4" w:val="single"/>
          <w:left w:color="1f4d78" w:space="0" w:sz="4" w:val="single"/>
          <w:bottom w:color="1f4d78" w:space="0" w:sz="4" w:val="single"/>
          <w:right w:color="1f4d78" w:space="0" w:sz="4" w:val="single"/>
          <w:insideH w:color="1f4d78" w:space="0" w:sz="4" w:val="single"/>
          <w:insideV w:color="1f4d78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14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4.453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LÍNEAS TS/TSX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14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ARCHIVOS DE CÓDIGO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14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ROLES DE USUARIO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14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TABLAS DE DATOS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14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COMMITS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14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PENDIENTES</w:t>
            </w:r>
          </w:p>
        </w:tc>
      </w:tr>
    </w:tbl>
    <w:p w:rsidR="00000000" w:rsidDel="00000000" w:rsidP="00000000" w:rsidRDefault="00000000" w:rsidRPr="00000000" w14:paraId="00000035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  <w:t xml:space="preserve">Indicador por módulos: de 9 módulos evaluados, 4 están implementados, 2 parciales y 3 pendientes. Es un indicador simple de conteo; no pondera el esfuerzo, y el módulo pendiente más pesado (liquidaciones) es el núcleo del valor del producto.</w:t>
      </w:r>
    </w:p>
    <w:p w:rsidR="00000000" w:rsidDel="00000000" w:rsidP="00000000" w:rsidRDefault="00000000" w:rsidRPr="00000000" w14:paraId="00000037">
      <w:pPr>
        <w:pStyle w:val="Heading1"/>
        <w:jc w:val="both"/>
        <w:rPr/>
      </w:pPr>
      <w:bookmarkStart w:colFirst="0" w:colLast="0" w:name="_heading=h.xnjkymma9ywu" w:id="3"/>
      <w:bookmarkEnd w:id="3"/>
      <w:r w:rsidDel="00000000" w:rsidR="00000000" w:rsidRPr="00000000">
        <w:rPr>
          <w:rtl w:val="0"/>
        </w:rPr>
        <w:t xml:space="preserve">2. Qué se ha avanzado</w:t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heading=h.ynddd0x9t3as" w:id="4"/>
      <w:bookmarkEnd w:id="4"/>
      <w:r w:rsidDel="00000000" w:rsidR="00000000" w:rsidRPr="00000000">
        <w:rPr>
          <w:rtl w:val="0"/>
        </w:rPr>
        <w:t xml:space="preserve">2.1 Base técnica</w:t>
      </w:r>
    </w:p>
    <w:p w:rsidR="00000000" w:rsidDel="00000000" w:rsidP="00000000" w:rsidRDefault="00000000" w:rsidRPr="00000000" w14:paraId="00000039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usa App Router de Next.js, organizado por grupos de rutas según el área (autenticación y dashboard). La lógica de acceso a datos vive en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src/lib</w:t>
      </w:r>
      <w:r w:rsidDel="00000000" w:rsidR="00000000" w:rsidRPr="00000000">
        <w:rPr>
          <w:sz w:val="24"/>
          <w:szCs w:val="24"/>
          <w:rtl w:val="0"/>
        </w:rPr>
        <w:t xml:space="preserve">, los componentes reutilizables en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src/components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 el esquema SQL se versiona aparte en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supabase/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tbl>
      <w:tblPr>
        <w:tblStyle w:val="Table3"/>
        <w:tblW w:w="9345.0" w:type="dxa"/>
        <w:jc w:val="left"/>
        <w:tblInd w:w="15.0" w:type="dxa"/>
        <w:tblLayout w:type="fixed"/>
        <w:tblLook w:val="0400"/>
      </w:tblPr>
      <w:tblGrid>
        <w:gridCol w:w="1680"/>
        <w:gridCol w:w="5250"/>
        <w:gridCol w:w="2415"/>
        <w:tblGridChange w:id="0">
          <w:tblGrid>
            <w:gridCol w:w="1680"/>
            <w:gridCol w:w="5250"/>
            <w:gridCol w:w="24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1f4d7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1f4d7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1f4d7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Framework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Next.js (App Router, Server Components, Server Actions)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16.3.6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 y React DOM; compilador React habilitado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000000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19.2.8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TypeScript en modo strict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Tailwind CSS v4 y componentes shadcn/ui (16 componentes)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000000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^4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Backend (BaaS)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Supabase: PostgreSQL, Auth y Storage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@supabase/ssr ^0.12.7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1f4d78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Moneda CLP y fechas en formato es-CL</w:t>
            </w:r>
          </w:p>
        </w:tc>
        <w:tc>
          <w:tcPr>
            <w:tcBorders>
              <w:top w:color="1f4d78" w:space="0" w:sz="4" w:val="single"/>
              <w:left w:color="1f4d78" w:space="0" w:sz="4" w:val="single"/>
              <w:bottom w:color="1f4d78" w:space="0" w:sz="4" w:val="single"/>
              <w:right w:color="000000" w:space="0" w:sz="4" w:val="single"/>
            </w:tcBorders>
            <w:shd w:fill="c9daf8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F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88" w:lineRule="auto"/>
        <w:jc w:val="both"/>
        <w:rPr/>
      </w:pPr>
      <w:r w:rsidDel="00000000" w:rsidR="00000000" w:rsidRPr="00000000">
        <w:rPr>
          <w:color w:val="6e6258"/>
          <w:rtl w:val="0"/>
        </w:rPr>
        <w:t xml:space="preserve">Un detalle para la defensa: Next.js 16 cambia el nombre del middleware a 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proxy</w:t>
      </w:r>
      <w:r w:rsidDel="00000000" w:rsidR="00000000" w:rsidRPr="00000000">
        <w:rPr>
          <w:color w:val="6e625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src/proxy.ts</w:t>
      </w:r>
      <w:r w:rsidDel="00000000" w:rsidR="00000000" w:rsidRPr="00000000">
        <w:rPr>
          <w:color w:val="6e6258"/>
          <w:rtl w:val="0"/>
        </w:rPr>
        <w:t xml:space="preserve">), y el proyecto ya usa esa convención.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both"/>
        <w:rPr/>
      </w:pPr>
      <w:bookmarkStart w:colFirst="0" w:colLast="0" w:name="_heading=h.56hr9foyzkdy" w:id="5"/>
      <w:bookmarkEnd w:id="5"/>
      <w:r w:rsidDel="00000000" w:rsidR="00000000" w:rsidRPr="00000000">
        <w:rPr>
          <w:rtl w:val="0"/>
        </w:rPr>
        <w:t xml:space="preserve">2.2 Base de datos</w:t>
      </w:r>
    </w:p>
    <w:p w:rsidR="00000000" w:rsidDel="00000000" w:rsidP="00000000" w:rsidRDefault="00000000" w:rsidRPr="00000000" w14:paraId="00000052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esquema se define en dos scripts SQL idempotentes (573 y 333 líneas) para ejecutar en Supabase sobre PostgreSQL 15+. El segundo amplía el primero con los roles Ejecutivo y Arrendatario sin modificarlo.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9 tablas: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usuarios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propietarios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arrendatarios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propiedades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contratos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obligaciones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pagos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documentos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extracciones_documento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Índices: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8 sobre las claves foráneas, más uno compuesto en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documentos(entidad_tipo, entidad_id)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y otro sobre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propietarios(user_id)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4 automatismos (triggers):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actualización de fecha de modificación, inyección del rol en el token de sesión, sincronización de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auth.users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public.usuarios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y vinculación automática de la ficha de arrendatario por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Almacenamiento: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bucket privado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respaldos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, con una carpeta por usuario. Administrador y Ejecutivo acceden a todo; Propietario y Arrendatario, solo a su carpeta.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bookmarkStart w:colFirst="0" w:colLast="0" w:name="_heading=h.9otbufxp9mqa" w:id="6"/>
      <w:bookmarkEnd w:id="6"/>
      <w:r w:rsidDel="00000000" w:rsidR="00000000" w:rsidRPr="00000000">
        <w:rPr>
          <w:rtl w:val="0"/>
        </w:rPr>
        <w:t xml:space="preserve">2.3 Seguridad en tres capas</w:t>
      </w:r>
    </w:p>
    <w:p w:rsidR="00000000" w:rsidDel="00000000" w:rsidP="00000000" w:rsidRDefault="00000000" w:rsidRPr="00000000" w14:paraId="00000058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decisión de arquitectura más destacable: el control de acceso no depende solo del frontend. Son tres cerraduras independientes; si una falla, las otras dos siguen protegiendo los datos.</w:t>
      </w:r>
    </w:p>
    <w:tbl>
      <w:tblPr>
        <w:tblStyle w:val="Table4"/>
        <w:tblW w:w="9360.0" w:type="dxa"/>
        <w:jc w:val="left"/>
        <w:tblBorders>
          <w:top w:color="45b0e1" w:space="0" w:sz="4" w:val="single"/>
          <w:bottom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00"/>
      </w:tblPr>
      <w:tblGrid>
        <w:gridCol w:w="1900"/>
        <w:gridCol w:w="2800"/>
        <w:gridCol w:w="4660"/>
        <w:tblGridChange w:id="0">
          <w:tblGrid>
            <w:gridCol w:w="1900"/>
            <w:gridCol w:w="28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5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5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Dónde ocurre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5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lib/supabase/proxy.ts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Refresca la sesión en cada petición, redirige a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/login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quien no está autenticado y bloquea rutas según el rol del token.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Guardas de página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lib/auth.ts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requerirRol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página sensible verifica el rol en el servidor y redirige al dashboard correcto si no corresponde.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RLS en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Políticas en las 9 tablas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motor de base de datos filtra por rol y por dueño. Funciona aunque alguien consulte la API de Supabase directamente.</w:t>
            </w:r>
          </w:p>
        </w:tc>
      </w:tr>
    </w:tbl>
    <w:p w:rsidR="00000000" w:rsidDel="00000000" w:rsidP="00000000" w:rsidRDefault="00000000" w:rsidRPr="00000000" w14:paraId="00000065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rol viaja como Custom JWT Claim, inyectado por un trigger al crear la cuenta. Las altas de usuario las hace el Administrador mediante Server Actions con el cliente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service-role</w:t>
      </w:r>
      <w:r w:rsidDel="00000000" w:rsidR="00000000" w:rsidRPr="00000000">
        <w:rPr>
          <w:sz w:val="24"/>
          <w:szCs w:val="24"/>
          <w:rtl w:val="0"/>
        </w:rPr>
        <w:t xml:space="preserve">, protegidas con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assertAdmin()</w:t>
      </w:r>
      <w:r w:rsidDel="00000000" w:rsidR="00000000" w:rsidRPr="00000000">
        <w:rPr>
          <w:sz w:val="24"/>
          <w:szCs w:val="24"/>
          <w:rtl w:val="0"/>
        </w:rPr>
        <w:t xml:space="preserve">. La clave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service-role</w:t>
      </w:r>
      <w:r w:rsidDel="00000000" w:rsidR="00000000" w:rsidRPr="00000000">
        <w:rPr>
          <w:sz w:val="24"/>
          <w:szCs w:val="24"/>
          <w:rtl w:val="0"/>
        </w:rPr>
        <w:t xml:space="preserve"> nunca se expone al navegador (el módulo importa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server-only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pStyle w:val="Heading2"/>
        <w:jc w:val="both"/>
        <w:rPr/>
      </w:pPr>
      <w:bookmarkStart w:colFirst="0" w:colLast="0" w:name="_heading=h.gwlxq9sv14ls" w:id="7"/>
      <w:bookmarkEnd w:id="7"/>
      <w:r w:rsidDel="00000000" w:rsidR="00000000" w:rsidRPr="00000000">
        <w:rPr>
          <w:rtl w:val="0"/>
        </w:rPr>
        <w:t xml:space="preserve">2.4 Autenticación, usuarios y paneles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con email y contraseña, redirección según rol y refresco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Gestión de usuarios (CRUD):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listado con búsqueda y filtro por rol; crear, editar rol y eliminar. Es la única operación de escritura completa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Paneles de los cuatro roles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con tarjetas de indicadores (KPI) y semáforo de cartera (al día, por vencer en 7 días, en mora).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jc w:val="both"/>
        <w:rPr/>
      </w:pPr>
      <w:bookmarkStart w:colFirst="0" w:colLast="0" w:name="_heading=h.wtc3h5kruf49" w:id="8"/>
      <w:bookmarkEnd w:id="8"/>
      <w:r w:rsidDel="00000000" w:rsidR="00000000" w:rsidRPr="00000000">
        <w:rPr>
          <w:rtl w:val="0"/>
        </w:rPr>
        <w:t xml:space="preserve">3. Estado por módulo</w:t>
      </w:r>
    </w:p>
    <w:tbl>
      <w:tblPr>
        <w:tblStyle w:val="Table5"/>
        <w:tblW w:w="9360.0" w:type="dxa"/>
        <w:jc w:val="left"/>
        <w:tblBorders>
          <w:top w:color="45b0e1" w:space="0" w:sz="4" w:val="single"/>
          <w:bottom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00"/>
      </w:tblPr>
      <w:tblGrid>
        <w:gridCol w:w="2600"/>
        <w:gridCol w:w="1700"/>
        <w:gridCol w:w="5060"/>
        <w:tblGridChange w:id="0">
          <w:tblGrid>
            <w:gridCol w:w="2600"/>
            <w:gridCol w:w="17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6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6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6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b3e5a1" w:val="clear"/>
          </w:tcPr>
          <w:p w:rsidR="00000000" w:rsidDel="00000000" w:rsidP="00000000" w:rsidRDefault="00000000" w:rsidRPr="00000000" w14:paraId="0000007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Login, refresco de sesión y redirección por rol. Pendiente: validar el parámetro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next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el flujo de registro y recuperación de contraseña.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Autorización (3 capas)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</w:tcPr>
          <w:p w:rsidR="00000000" w:rsidDel="00000000" w:rsidP="00000000" w:rsidRDefault="00000000" w:rsidRPr="00000000" w14:paraId="0000007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Proxy,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requerirRol()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RLS con roles vía Custom JWT Claims.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</w:tcPr>
          <w:p w:rsidR="00000000" w:rsidDel="00000000" w:rsidP="00000000" w:rsidRDefault="00000000" w:rsidRPr="00000000" w14:paraId="0000007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CRUD completo con cliente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service-role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assertAdmin()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Dashboards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e5a1" w:val="clear"/>
          </w:tcPr>
          <w:p w:rsidR="00000000" w:rsidDel="00000000" w:rsidP="00000000" w:rsidRDefault="00000000" w:rsidRPr="00000000" w14:paraId="0000007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Paneles de consulta de los cuatro roles, con KPIs y semáforo.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Documentos y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</w:tcPr>
          <w:p w:rsidR="00000000" w:rsidDel="00000000" w:rsidP="00000000" w:rsidRDefault="00000000" w:rsidRPr="00000000" w14:paraId="0000007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4a0a"/>
                <w:sz w:val="24"/>
                <w:szCs w:val="24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Tabla y cola modeladas; la interfaz existe, pero sin carga real a Storage ni proceso de OCR.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Conciliación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</w:tcPr>
          <w:p w:rsidR="00000000" w:rsidDel="00000000" w:rsidP="00000000" w:rsidRDefault="00000000" w:rsidRPr="00000000" w14:paraId="0000007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4a0a"/>
                <w:sz w:val="24"/>
                <w:szCs w:val="24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 de saldo pendiente. Falta registrar pagos y marcar obligaciones como pagadas o atrasadas.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Liquidaciones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b9b" w:val="clear"/>
          </w:tcPr>
          <w:p w:rsidR="00000000" w:rsidDel="00000000" w:rsidP="00000000" w:rsidRDefault="00000000" w:rsidRPr="00000000" w14:paraId="0000008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a1f1f"/>
                <w:sz w:val="24"/>
                <w:szCs w:val="24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tabla no existe; las tres pantallas son placeholders.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b9b" w:val="clear"/>
          </w:tcPr>
          <w:p w:rsidR="00000000" w:rsidDel="00000000" w:rsidP="00000000" w:rsidRDefault="00000000" w:rsidRPr="00000000" w14:paraId="0000008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a1f1f"/>
                <w:sz w:val="24"/>
                <w:szCs w:val="24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lectura; falta el botón de agregar propiedad (admin y propietario).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b9b" w:val="clear"/>
          </w:tcPr>
          <w:p w:rsidR="00000000" w:rsidDel="00000000" w:rsidP="00000000" w:rsidRDefault="00000000" w:rsidRPr="00000000" w14:paraId="0000008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a1f1f"/>
                <w:sz w:val="24"/>
                <w:szCs w:val="24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y RLS listos; sin interfaz de alta ni edición.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jc w:val="both"/>
        <w:rPr/>
      </w:pPr>
      <w:bookmarkStart w:colFirst="0" w:colLast="0" w:name="_heading=h.sae8hnbmqc92" w:id="9"/>
      <w:bookmarkEnd w:id="9"/>
      <w:r w:rsidDel="00000000" w:rsidR="00000000" w:rsidRPr="00000000">
        <w:rPr>
          <w:rtl w:val="0"/>
        </w:rPr>
        <w:t xml:space="preserve">4. Avance por rol de usuario</w:t>
      </w:r>
    </w:p>
    <w:tbl>
      <w:tblPr>
        <w:tblStyle w:val="Table6"/>
        <w:tblW w:w="9360.0" w:type="dxa"/>
        <w:jc w:val="left"/>
        <w:tblBorders>
          <w:top w:color="60cbf3" w:space="0" w:sz="4" w:val="single"/>
          <w:bottom w:color="60cbf3" w:space="0" w:sz="4" w:val="single"/>
          <w:insideH w:color="60cbf3" w:space="0" w:sz="4" w:val="single"/>
          <w:insideV w:color="60cbf3" w:space="0" w:sz="4" w:val="single"/>
        </w:tblBorders>
        <w:tblLayout w:type="fixed"/>
        <w:tblLook w:val="0400"/>
      </w:tblPr>
      <w:tblGrid>
        <w:gridCol w:w="1500"/>
        <w:gridCol w:w="1700"/>
        <w:gridCol w:w="3260"/>
        <w:gridCol w:w="2900"/>
        <w:tblGridChange w:id="0">
          <w:tblGrid>
            <w:gridCol w:w="1500"/>
            <w:gridCol w:w="1700"/>
            <w:gridCol w:w="3260"/>
            <w:gridCol w:w="2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8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8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8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Lo que permite 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8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gerencial (semáforo, 4 KPIs, obligaciones atrasadas, extracciones OCR pendientes), CRUD de usuarios y vista de toda la cartera.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Liquidaciones (placeholder) y CRUD de propiedades.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Ejecutivo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/ejecutivo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Panel operativo; últimos 20 documentos; conciliación con saldo pendiente por obligación.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de documentos y OCR; formulario de pago; marcado de atrasos; liquidaciones.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/propietario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KPIs propios (inmuebles, arrendados, flujo esperado, cobrado del mes) y tarjetas de sus propiedades. RLS filtra por dueño.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Liquidaciones (placeholder).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Arrendatario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/arrendatario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Portal de solo lectura: total a pagar, fecha límite, monto atrasado, obligaciones e historial de los últimos 50 pagos.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Pago en línea y descarga de comprobantes.</w:t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jc w:val="both"/>
        <w:rPr/>
      </w:pPr>
      <w:bookmarkStart w:colFirst="0" w:colLast="0" w:name="_heading=h.g4aco94m3g7p" w:id="10"/>
      <w:bookmarkEnd w:id="10"/>
      <w:r w:rsidDel="00000000" w:rsidR="00000000" w:rsidRPr="00000000">
        <w:rPr>
          <w:rtl w:val="0"/>
        </w:rPr>
        <w:t xml:space="preserve">5. Pendientes y brechas</w:t>
      </w:r>
    </w:p>
    <w:p w:rsidR="00000000" w:rsidDel="00000000" w:rsidP="00000000" w:rsidRDefault="00000000" w:rsidRPr="00000000" w14:paraId="000000A0">
      <w:pPr>
        <w:pStyle w:val="Heading2"/>
        <w:jc w:val="both"/>
        <w:rPr/>
      </w:pPr>
      <w:bookmarkStart w:colFirst="0" w:colLast="0" w:name="_heading=h.qxntwdhb6oj7" w:id="11"/>
      <w:bookmarkEnd w:id="11"/>
      <w:r w:rsidDel="00000000" w:rsidR="00000000" w:rsidRPr="00000000">
        <w:rPr>
          <w:rtl w:val="0"/>
        </w:rPr>
        <w:t xml:space="preserve">5.1 La brecha principal: liquidaciones</w:t>
      </w:r>
    </w:p>
    <w:p w:rsidR="00000000" w:rsidDel="00000000" w:rsidP="00000000" w:rsidRDefault="00000000" w:rsidRPr="00000000" w14:paraId="000000A1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tabla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liquidaciones</w:t>
      </w:r>
      <w:r w:rsidDel="00000000" w:rsidR="00000000" w:rsidRPr="00000000">
        <w:rPr>
          <w:sz w:val="24"/>
          <w:szCs w:val="24"/>
          <w:rtl w:val="0"/>
        </w:rPr>
        <w:t xml:space="preserve"> es la dependencia común de las tres pantallas de liquidación (admin, ejecutivo y propietario). El script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02_roles_extension.sql</w:t>
      </w:r>
      <w:r w:rsidDel="00000000" w:rsidR="00000000" w:rsidRPr="00000000">
        <w:rPr>
          <w:sz w:val="24"/>
          <w:szCs w:val="24"/>
          <w:rtl w:val="0"/>
        </w:rPr>
        <w:t xml:space="preserve"> ya incluye un diseño tentativo en comentarios: periodo, propietario, arriendo bruto, gastos, comisión, neto, estado (GENERADA, APROBADA, RECHAZADA, PAGADA) y una restricción única por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(periodo, propietario_id)</w:t>
      </w:r>
      <w:r w:rsidDel="00000000" w:rsidR="00000000" w:rsidRPr="00000000">
        <w:rPr>
          <w:sz w:val="24"/>
          <w:szCs w:val="24"/>
          <w:rtl w:val="0"/>
        </w:rPr>
        <w:t xml:space="preserve">. Crearla, con su RLS, es la tarea que más desbloquea.</w:t>
      </w:r>
    </w:p>
    <w:p w:rsidR="00000000" w:rsidDel="00000000" w:rsidP="00000000" w:rsidRDefault="00000000" w:rsidRPr="00000000" w14:paraId="000000A2">
      <w:pPr>
        <w:pStyle w:val="Heading2"/>
        <w:jc w:val="both"/>
        <w:rPr/>
      </w:pPr>
      <w:bookmarkStart w:colFirst="0" w:colLast="0" w:name="_heading=h.yclh6if4he4l" w:id="12"/>
      <w:bookmarkEnd w:id="12"/>
      <w:r w:rsidDel="00000000" w:rsidR="00000000" w:rsidRPr="00000000">
        <w:rPr>
          <w:rtl w:val="0"/>
        </w:rPr>
        <w:t xml:space="preserve">5.2 Hoja de pendientes por prioridad</w:t>
      </w:r>
    </w:p>
    <w:tbl>
      <w:tblPr>
        <w:tblStyle w:val="Table7"/>
        <w:tblW w:w="9360.0" w:type="dxa"/>
        <w:jc w:val="left"/>
        <w:tblBorders>
          <w:top w:color="60cbf3" w:space="0" w:sz="4" w:val="single"/>
          <w:bottom w:color="60cbf3" w:space="0" w:sz="4" w:val="single"/>
          <w:insideH w:color="60cbf3" w:space="0" w:sz="4" w:val="single"/>
          <w:insideV w:color="60cbf3" w:space="0" w:sz="4" w:val="single"/>
        </w:tblBorders>
        <w:tblLayout w:type="fixed"/>
        <w:tblLook w:val="0400"/>
      </w:tblPr>
      <w:tblGrid>
        <w:gridCol w:w="1300"/>
        <w:gridCol w:w="4560"/>
        <w:gridCol w:w="3500"/>
        <w:tblGridChange w:id="0">
          <w:tblGrid>
            <w:gridCol w:w="1300"/>
            <w:gridCol w:w="456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A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A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A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Qué desbloquea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9b9b" w:val="clear"/>
          </w:tcPr>
          <w:p w:rsidR="00000000" w:rsidDel="00000000" w:rsidP="00000000" w:rsidRDefault="00000000" w:rsidRPr="00000000" w14:paraId="000000A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a1f1f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 tabla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liquidaciones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su RLS.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3 pantallas de liquidaciones.</w:t>
            </w:r>
          </w:p>
        </w:tc>
      </w:tr>
      <w:tr>
        <w:trPr>
          <w:cantSplit w:val="0"/>
          <w:tblHeader w:val="0"/>
        </w:trPr>
        <w:tc>
          <w:tcPr>
            <w:shd w:fill="ff9b9b" w:val="clear"/>
          </w:tcPr>
          <w:p w:rsidR="00000000" w:rsidDel="00000000" w:rsidP="00000000" w:rsidRDefault="00000000" w:rsidRPr="00000000" w14:paraId="000000A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a1f1f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pagos en conciliación (insertar pago y marcar la obligación como PAGADA).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Cierre del ciclo de cobro.</w:t>
            </w:r>
          </w:p>
        </w:tc>
      </w:tr>
      <w:tr>
        <w:trPr>
          <w:cantSplit w:val="0"/>
          <w:tblHeader w:val="0"/>
        </w:trPr>
        <w:tc>
          <w:tcPr>
            <w:shd w:fill="ff9b9b" w:val="clear"/>
          </w:tcPr>
          <w:p w:rsidR="00000000" w:rsidDel="00000000" w:rsidP="00000000" w:rsidRDefault="00000000" w:rsidRPr="00000000" w14:paraId="000000A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a1f1f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Marcado automático de obligaciones ATRASADA al vencer (trigger o función).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Semáforo y mora confiables.</w:t>
            </w:r>
          </w:p>
        </w:tc>
      </w:tr>
      <w:tr>
        <w:trPr>
          <w:cantSplit w:val="0"/>
          <w:tblHeader w:val="0"/>
        </w:trPr>
        <w:tc>
          <w:tcPr>
            <w:shd w:fill="f6c6ac" w:val="clear"/>
          </w:tcPr>
          <w:p w:rsidR="00000000" w:rsidDel="00000000" w:rsidP="00000000" w:rsidRDefault="00000000" w:rsidRPr="00000000" w14:paraId="000000A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4a0a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real de documentos a Storage, solicitud de OCR y corrección de campos extraídos.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documental.</w:t>
            </w:r>
          </w:p>
        </w:tc>
      </w:tr>
      <w:tr>
        <w:trPr>
          <w:cantSplit w:val="0"/>
          <w:tblHeader w:val="0"/>
        </w:trPr>
        <w:tc>
          <w:tcPr>
            <w:shd w:fill="f6c6ac" w:val="clear"/>
          </w:tcPr>
          <w:p w:rsidR="00000000" w:rsidDel="00000000" w:rsidP="00000000" w:rsidRDefault="00000000" w:rsidRPr="00000000" w14:paraId="000000B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4a0a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 de OCR (Edge Function o cron) que escriba los campos en la entidad destino.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Automatización de boletas.</w:t>
            </w:r>
          </w:p>
        </w:tc>
      </w:tr>
      <w:tr>
        <w:trPr>
          <w:cantSplit w:val="0"/>
          <w:tblHeader w:val="0"/>
        </w:trPr>
        <w:tc>
          <w:tcPr>
            <w:shd w:fill="f6c6ac" w:val="clear"/>
          </w:tcPr>
          <w:p w:rsidR="00000000" w:rsidDel="00000000" w:rsidP="00000000" w:rsidRDefault="00000000" w:rsidRPr="00000000" w14:paraId="000000B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4a0a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Botón "Agregar propiedad" y alta y edición de contratos.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Operación sin cargar datos por SQL.</w:t>
            </w:r>
          </w:p>
        </w:tc>
      </w:tr>
      <w:tr>
        <w:trPr>
          <w:cantSplit w:val="0"/>
          <w:tblHeader w:val="0"/>
        </w:trPr>
        <w:tc>
          <w:tcPr>
            <w:shd w:fill="f6c6ac" w:val="clear"/>
          </w:tcPr>
          <w:p w:rsidR="00000000" w:rsidDel="00000000" w:rsidP="00000000" w:rsidRDefault="00000000" w:rsidRPr="00000000" w14:paraId="000000B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4a0a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el parámetro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next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login; registro y recuperación de contraseña.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Cierre de un riesgo de seguridad.</w:t>
            </w:r>
          </w:p>
        </w:tc>
      </w:tr>
      <w:tr>
        <w:trPr>
          <w:cantSplit w:val="0"/>
          <w:tblHeader w:val="0"/>
        </w:trPr>
        <w:tc>
          <w:tcPr>
            <w:shd w:fill="f6c6ac" w:val="clear"/>
          </w:tcPr>
          <w:p w:rsidR="00000000" w:rsidDel="00000000" w:rsidP="00000000" w:rsidRDefault="00000000" w:rsidRPr="00000000" w14:paraId="000000B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4a0a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tipos con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supabase gen types typescript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(hoy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lib/types.ts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un espejo manual).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Evita desfases con la base.</w:t>
            </w:r>
          </w:p>
        </w:tc>
      </w:tr>
      <w:tr>
        <w:trPr>
          <w:cantSplit w:val="0"/>
          <w:tblHeader w:val="0"/>
        </w:trPr>
        <w:tc>
          <w:tcPr>
            <w:shd w:fill="b3e5a1" w:val="clear"/>
          </w:tcPr>
          <w:p w:rsidR="00000000" w:rsidDel="00000000" w:rsidP="00000000" w:rsidRDefault="00000000" w:rsidRPr="00000000" w14:paraId="000000B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Comisiones y gastos comunes parametrizables por contrato.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Cálculo del neto de la liquidación.</w:t>
            </w:r>
          </w:p>
        </w:tc>
      </w:tr>
      <w:tr>
        <w:trPr>
          <w:cantSplit w:val="0"/>
          <w:tblHeader w:val="0"/>
        </w:trPr>
        <w:tc>
          <w:tcPr>
            <w:shd w:fill="b3e5a1" w:val="clear"/>
          </w:tcPr>
          <w:p w:rsidR="00000000" w:rsidDel="00000000" w:rsidP="00000000" w:rsidRDefault="00000000" w:rsidRPr="00000000" w14:paraId="000000C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Tabla opcional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conciliaciones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validación de entidad en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documentos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datos semilla del Administrador.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Trazabilidad y robustez.</w:t>
            </w:r>
          </w:p>
        </w:tc>
      </w:tr>
      <w:tr>
        <w:trPr>
          <w:cantSplit w:val="0"/>
          <w:tblHeader w:val="0"/>
        </w:trPr>
        <w:tc>
          <w:tcPr>
            <w:shd w:fill="b3e5a1" w:val="clear"/>
          </w:tcPr>
          <w:p w:rsidR="00000000" w:rsidDel="00000000" w:rsidP="00000000" w:rsidRDefault="00000000" w:rsidRPr="00000000" w14:paraId="000000C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Recordatorios con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pg_cron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pago en línea; comprobantes; perfil editable; README del proyecto.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de producto y documentación.</w:t>
            </w:r>
          </w:p>
        </w:tc>
      </w:tr>
    </w:tbl>
    <w:p w:rsidR="00000000" w:rsidDel="00000000" w:rsidP="00000000" w:rsidRDefault="00000000" w:rsidRPr="00000000" w14:paraId="000000C7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  <w:t xml:space="preserve">Observación: el informe técnico clasifica las comisiones y gastos parametrizables como prioridad baja, pero son un requisito para calcular el neto de una liquidación. Conviene tratarlas junto con la tabla 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liquidaciones</w:t>
      </w:r>
      <w:r w:rsidDel="00000000" w:rsidR="00000000" w:rsidRPr="00000000">
        <w:rPr>
          <w:rtl w:val="0"/>
        </w:rPr>
        <w:t xml:space="preserve">, no después.</w:t>
      </w:r>
    </w:p>
    <w:p w:rsidR="00000000" w:rsidDel="00000000" w:rsidP="00000000" w:rsidRDefault="00000000" w:rsidRPr="00000000" w14:paraId="000000C9">
      <w:pPr>
        <w:pStyle w:val="Heading1"/>
        <w:jc w:val="both"/>
        <w:rPr/>
      </w:pPr>
      <w:bookmarkStart w:colFirst="0" w:colLast="0" w:name="_heading=h.yo3nyg69b8rb" w:id="13"/>
      <w:bookmarkEnd w:id="13"/>
      <w:r w:rsidDel="00000000" w:rsidR="00000000" w:rsidRPr="00000000">
        <w:rPr>
          <w:rtl w:val="0"/>
        </w:rPr>
        <w:t xml:space="preserve">6. Cambios respecto del plan original</w:t>
      </w:r>
    </w:p>
    <w:p w:rsidR="00000000" w:rsidDel="00000000" w:rsidP="00000000" w:rsidRDefault="00000000" w:rsidRPr="00000000" w14:paraId="000000CA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comparar la arquitectura planteada en la Fase 1 y la definición del proyecto con lo que hay en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, aparecen diferencias que conviene decidir y dejar documentadas antes de la defensa. No son errores: son decisiones tomadas en el camino que hoy no están reflejadas en los documentos.</w:t>
      </w:r>
    </w:p>
    <w:tbl>
      <w:tblPr>
        <w:tblStyle w:val="Table8"/>
        <w:tblW w:w="9360.0" w:type="dxa"/>
        <w:jc w:val="left"/>
        <w:tblBorders>
          <w:top w:color="60cbf3" w:space="0" w:sz="4" w:val="single"/>
          <w:bottom w:color="60cbf3" w:space="0" w:sz="4" w:val="single"/>
          <w:insideH w:color="60cbf3" w:space="0" w:sz="4" w:val="single"/>
          <w:insideV w:color="60cbf3" w:space="0" w:sz="4" w:val="single"/>
        </w:tblBorders>
        <w:tblLayout w:type="fixed"/>
        <w:tblLook w:val="0400"/>
      </w:tblPr>
      <w:tblGrid>
        <w:gridCol w:w="1500"/>
        <w:gridCol w:w="2500"/>
        <w:gridCol w:w="2700"/>
        <w:gridCol w:w="2660"/>
        <w:tblGridChange w:id="0">
          <w:tblGrid>
            <w:gridCol w:w="1500"/>
            <w:gridCol w:w="2500"/>
            <w:gridCol w:w="27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C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C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Plan (Fase 1 y definición)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C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Implementado en 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C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Acción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propia más servicio FastAPI en Cloud Run para el procesamiento documental.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Next.js (Server Actions) y Supabase. No hay FastAPI ni servicios de GCP.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Fijar una sola versión de la arquitectura y actualizar los documentos.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Document AI.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implementado; solo la cola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extracciones_documento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Decidir la tecnología (por ejemplo, Edge Function) o acotar el alcance.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Capa analítica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BigQuery, Dataform y Looker Studio.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existe. Los indicadores se calculan dentro de la app.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Decidir si entra al MVP o se declara como trabajo futuro.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Importación desde Excel o Sheets; Gmail opcional.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Ninguna integración externa aparte de Supabase.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como mejora posterior.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tablas en el diagrama, incluidas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cuentas_servicios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audit_log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tablas, sin esas dos, y sin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liquidaciones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incorporarlas.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cuentas_servicios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la base para asociar una boleta a su propiedad.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Semáforo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Verde, amarillo (en revisión) y rojo (mora).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Verde (al día), ámbar (por vencer en 7 días) y rojo (en mora).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Alinear las definiciones del semáforo.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y dueño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Faltaba un vínculo entre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usuarios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propietarios o arrendatarios.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user_id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único en ambas tablas, con RLS.</w:t>
            </w:r>
          </w:p>
        </w:tc>
        <w:tc>
          <w:tcPr>
            <w:shd w:fill="b3e5a1" w:val="clear"/>
          </w:tcPr>
          <w:p w:rsidR="00000000" w:rsidDel="00000000" w:rsidP="00000000" w:rsidRDefault="00000000" w:rsidRPr="00000000" w14:paraId="000000E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e6258"/>
          <w:rtl w:val="0"/>
        </w:rPr>
        <w:t xml:space="preserve">Nota de transparencia: en una respuesta anterior de esta conversación listé rutas del frontend (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/dashboard</w:t>
      </w:r>
      <w:r w:rsidDel="00000000" w:rsidR="00000000" w:rsidRPr="00000000">
        <w:rPr>
          <w:i w:val="1"/>
          <w:iCs w:val="1"/>
          <w:color w:val="6e625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/propiedades</w:t>
      </w:r>
      <w:r w:rsidDel="00000000" w:rsidR="00000000" w:rsidRPr="00000000">
        <w:rPr>
          <w:i w:val="1"/>
          <w:iCs w:val="1"/>
          <w:color w:val="6e6258"/>
          <w:rtl w:val="0"/>
        </w:rPr>
        <w:t xml:space="preserve">, etc.) que había deducido de la Fase 1. La estructura real del repositorio es por rol (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/admin</w:t>
      </w:r>
      <w:r w:rsidDel="00000000" w:rsidR="00000000" w:rsidRPr="00000000">
        <w:rPr>
          <w:i w:val="1"/>
          <w:iCs w:val="1"/>
          <w:color w:val="6e625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/ejecutivo</w:t>
      </w:r>
      <w:r w:rsidDel="00000000" w:rsidR="00000000" w:rsidRPr="00000000">
        <w:rPr>
          <w:i w:val="1"/>
          <w:iCs w:val="1"/>
          <w:color w:val="6e625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/propietario</w:t>
      </w:r>
      <w:r w:rsidDel="00000000" w:rsidR="00000000" w:rsidRPr="00000000">
        <w:rPr>
          <w:i w:val="1"/>
          <w:iCs w:val="1"/>
          <w:color w:val="6e625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1a2f"/>
          <w:sz w:val="20"/>
          <w:szCs w:val="20"/>
          <w:rtl w:val="0"/>
        </w:rPr>
        <w:t xml:space="preserve">/arrendatario</w:t>
      </w:r>
      <w:r w:rsidDel="00000000" w:rsidR="00000000" w:rsidRPr="00000000">
        <w:rPr>
          <w:i w:val="1"/>
          <w:iCs w:val="1"/>
          <w:color w:val="6e6258"/>
          <w:rtl w:val="0"/>
        </w:rPr>
        <w:t xml:space="preserve">), como se detalla en la sección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jc w:val="both"/>
        <w:rPr/>
      </w:pPr>
      <w:bookmarkStart w:colFirst="0" w:colLast="0" w:name="_heading=h.5shlp041jy3d" w:id="14"/>
      <w:bookmarkEnd w:id="14"/>
      <w:r w:rsidDel="00000000" w:rsidR="00000000" w:rsidRPr="00000000">
        <w:rPr>
          <w:rtl w:val="0"/>
        </w:rPr>
        <w:t xml:space="preserve">7. Proceso y control de versiones</w:t>
      </w:r>
    </w:p>
    <w:tbl>
      <w:tblPr>
        <w:tblStyle w:val="Table9"/>
        <w:tblW w:w="9360.0" w:type="dxa"/>
        <w:jc w:val="left"/>
        <w:tblBorders>
          <w:top w:color="60cbf3" w:space="0" w:sz="4" w:val="single"/>
          <w:bottom w:color="60cbf3" w:space="0" w:sz="4" w:val="single"/>
          <w:insideH w:color="60cbf3" w:space="0" w:sz="4" w:val="single"/>
          <w:insideV w:color="60cbf3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E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E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b1a2f"/>
                <w:sz w:val="24"/>
                <w:szCs w:val="24"/>
                <w:rtl w:val="0"/>
              </w:rPr>
              <w:t xml:space="preserve">develop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software: app Next.js, capa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lib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los dos scripts SQL y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package-lock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b1a2f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las evidencias de la Fase 1. No incluye el código.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b1a2f"/>
                <w:sz w:val="24"/>
                <w:szCs w:val="24"/>
                <w:rtl w:val="0"/>
              </w:rPr>
              <w:t xml:space="preserve">feature/salvador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Rama de trabajo ya fusionada a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develop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mediante el Pull Request #1.</w:t>
            </w:r>
          </w:p>
        </w:tc>
      </w:tr>
    </w:tbl>
    <w:p w:rsidR="00000000" w:rsidDel="00000000" w:rsidP="00000000" w:rsidRDefault="00000000" w:rsidRPr="00000000" w14:paraId="000000F6">
      <w:pP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repositorio tiene 13 commits y el árbol de trabajo está limpio y sincronizado con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origin/develop</w:t>
      </w:r>
      <w:r w:rsidDel="00000000" w:rsidR="00000000" w:rsidRPr="00000000">
        <w:rPr>
          <w:sz w:val="24"/>
          <w:szCs w:val="24"/>
          <w:rtl w:val="0"/>
        </w:rPr>
        <w:t xml:space="preserve">. Observaciones de proceso: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La rama main no contiene la aplicación.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Quien clone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no obtiene el software. Hay que decidir cuándo promover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mediante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Distancia con la Guía de flujo de trabajo.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La Guía pide ramas por tarea (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feature/nombre-de-la-tarea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) y marca como incorrecto usar nombres de persona; la rama de trabajo actual lleva un nombre de persona y existe un único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Autoría concentrada.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El historial atribuye todo el código del MVP a un único autor (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salvadortw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), la estructura de carpetas y evidencias a otro, y cargas por la web de GitHub a un tercero. Si cada identidad corresponde a un integrante, conviene que las contribuciones de todos queden visibles en el repositorio (ramas por tarea, PRs revisados, commits atómicos), sobre todo para las evidencias individuales.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70" w:line="280" w:lineRule="auto"/>
        <w:ind w:left="500" w:hanging="2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4"/>
          <w:szCs w:val="24"/>
          <w:rtl w:val="0"/>
        </w:rPr>
        <w:t xml:space="preserve">README sin personalizar.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 Sigue siendo el texto por defecto de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create-next-app</w:t>
      </w:r>
      <w:r w:rsidDel="00000000" w:rsidR="00000000" w:rsidRPr="00000000">
        <w:rPr>
          <w:rFonts w:ascii="Calibri" w:cs="Calibri" w:eastAsia="Calibri" w:hAnsi="Calibri"/>
          <w:color w:val="2b2b2b"/>
          <w:sz w:val="24"/>
          <w:szCs w:val="24"/>
          <w:rtl w:val="0"/>
        </w:rPr>
        <w:t xml:space="preserve">. Documentar el dominio, los roles y la configuración de Supabase es de bajo esfuerzo y alto impacto para los evaluadores.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jc w:val="both"/>
        <w:rPr/>
      </w:pPr>
      <w:bookmarkStart w:colFirst="0" w:colLast="0" w:name="_heading=h.wwumq1qtta0" w:id="15"/>
      <w:bookmarkEnd w:id="15"/>
      <w:r w:rsidDel="00000000" w:rsidR="00000000" w:rsidRPr="00000000">
        <w:rPr>
          <w:rtl w:val="0"/>
        </w:rPr>
        <w:t xml:space="preserve">8. Entregables académicos</w:t>
      </w:r>
    </w:p>
    <w:tbl>
      <w:tblPr>
        <w:tblStyle w:val="Table10"/>
        <w:tblW w:w="9360.0" w:type="dxa"/>
        <w:jc w:val="left"/>
        <w:tblBorders>
          <w:top w:color="60cbf3" w:space="0" w:sz="4" w:val="single"/>
          <w:bottom w:color="60cbf3" w:space="0" w:sz="4" w:val="single"/>
          <w:insideH w:color="60cbf3" w:space="0" w:sz="4" w:val="single"/>
          <w:insideV w:color="60cbf3" w:space="0" w:sz="4" w:val="single"/>
        </w:tblBorders>
        <w:tblLayout w:type="fixed"/>
        <w:tblLook w:val="0400"/>
      </w:tblPr>
      <w:tblGrid>
        <w:gridCol w:w="1200"/>
        <w:gridCol w:w="6160"/>
        <w:gridCol w:w="2000"/>
        <w:tblGridChange w:id="0">
          <w:tblGrid>
            <w:gridCol w:w="1200"/>
            <w:gridCol w:w="61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F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F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0F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Evidencias grupales (presentación del proyecto y guía del estudiante) y evidencias individuales de los tres integrantes (autoevaluación de competencias, diario de reflexión y autoevaluación).</w:t>
            </w:r>
          </w:p>
        </w:tc>
        <w:tc>
          <w:tcPr>
            <w:tcBorders>
              <w:top w:color="000000" w:space="0" w:sz="0" w:val="nil"/>
            </w:tcBorders>
            <w:shd w:fill="b3e5a1" w:val="clear"/>
          </w:tcPr>
          <w:p w:rsidR="00000000" w:rsidDel="00000000" w:rsidP="00000000" w:rsidRDefault="00000000" w:rsidRPr="00000000" w14:paraId="0000010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f5120"/>
                <w:sz w:val="24"/>
                <w:szCs w:val="24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de carpetas creada (grupales, individuales y de proyecto), con archivos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.gitkeep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ff9b9b" w:val="clear"/>
          </w:tcPr>
          <w:p w:rsidR="00000000" w:rsidDel="00000000" w:rsidP="00000000" w:rsidRDefault="00000000" w:rsidRPr="00000000" w14:paraId="0000010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a1f1f"/>
                <w:sz w:val="24"/>
                <w:szCs w:val="24"/>
                <w:rtl w:val="0"/>
              </w:rPr>
              <w:t xml:space="preserve">VACÍA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de carpetas creada (grupales e individuales), con archivos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.gitkeep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ff9b9b" w:val="clear"/>
          </w:tcPr>
          <w:p w:rsidR="00000000" w:rsidDel="00000000" w:rsidP="00000000" w:rsidRDefault="00000000" w:rsidRPr="00000000" w14:paraId="0000010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a1f1f"/>
                <w:sz w:val="24"/>
                <w:szCs w:val="24"/>
                <w:rtl w:val="0"/>
              </w:rPr>
              <w:t xml:space="preserve">VACÍA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1"/>
        <w:jc w:val="both"/>
        <w:rPr/>
      </w:pPr>
      <w:bookmarkStart w:colFirst="0" w:colLast="0" w:name="_heading=h.v2w9mpmpzsvo" w:id="16"/>
      <w:bookmarkEnd w:id="16"/>
      <w:r w:rsidDel="00000000" w:rsidR="00000000" w:rsidRPr="00000000">
        <w:rPr>
          <w:rtl w:val="0"/>
        </w:rPr>
        <w:t xml:space="preserve">9. Riesgos y mitigaciones</w:t>
      </w:r>
    </w:p>
    <w:tbl>
      <w:tblPr>
        <w:tblStyle w:val="Table11"/>
        <w:tblW w:w="9360.0" w:type="dxa"/>
        <w:jc w:val="left"/>
        <w:tblBorders>
          <w:top w:color="60cbf3" w:space="0" w:sz="4" w:val="single"/>
          <w:bottom w:color="60cbf3" w:space="0" w:sz="4" w:val="single"/>
          <w:insideH w:color="60cbf3" w:space="0" w:sz="4" w:val="single"/>
          <w:insideV w:color="60cbf3" w:space="0" w:sz="4" w:val="single"/>
        </w:tblBorders>
        <w:tblLayout w:type="fixed"/>
        <w:tblLook w:val="0400"/>
      </w:tblPr>
      <w:tblGrid>
        <w:gridCol w:w="2700"/>
        <w:gridCol w:w="3000"/>
        <w:gridCol w:w="3660"/>
        <w:tblGridChange w:id="0">
          <w:tblGrid>
            <w:gridCol w:w="2700"/>
            <w:gridCol w:w="30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10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10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Por qué importa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10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Mitigación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financiero sin terminar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Liquidaciones y conciliación son el núcleo del valor y de la demostración.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Priorizar las tres tareas de prioridad alta antes que el OCR.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Alcance mayor al construido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plan incluye OCR, GCP y analítica que hoy no existen.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el alcance mínimo del MVP y declarar el resto como trabajo futuro.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Parámetro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b1a2f"/>
                <w:sz w:val="24"/>
                <w:szCs w:val="24"/>
                <w:rtl w:val="0"/>
              </w:rPr>
              <w:t xml:space="preserve">next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del login sin validar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permitir redirecciones no deseadas o escalada de privilegios.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Aceptar solo rutas internas permitidas para el rol.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Tipos de TypeScript manuales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Pueden desfasarse del esquema real.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Generarlos con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supabase gen types typescript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Trabajo concentrado en pocas manos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 de continuidad y de evidencia individual desigual.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Repartir tareas por rama y revisar PRs entre integrantes.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b1a2f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sin código ni README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evaluadores podrían no ver la aplicación.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Pull Request de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develop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README completo.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>
          <w:rFonts w:ascii="Georgia" w:cs="Georgia" w:eastAsia="Georgia" w:hAnsi="Georgia"/>
          <w:b w:val="1"/>
          <w:bCs w:val="1"/>
          <w:color w:val="6b1a2f"/>
          <w:sz w:val="32"/>
          <w:szCs w:val="32"/>
        </w:rPr>
      </w:pPr>
      <w:bookmarkStart w:colFirst="0" w:colLast="0" w:name="_heading=h.ng9ae1vnxcvk" w:id="17"/>
      <w:bookmarkEnd w:id="17"/>
      <w:r w:rsidDel="00000000" w:rsidR="00000000" w:rsidRPr="00000000">
        <w:rPr>
          <w:rtl w:val="0"/>
        </w:rPr>
        <w:t xml:space="preserve">10. Próximos pasos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  <w:t xml:space="preserve">Secuencia sugerida, sujeta a acuerdo del equipo. Las responsabilidades quedan por asignar.</w:t>
      </w:r>
    </w:p>
    <w:tbl>
      <w:tblPr>
        <w:tblStyle w:val="Table12"/>
        <w:tblW w:w="9360.0" w:type="dxa"/>
        <w:jc w:val="left"/>
        <w:tblBorders>
          <w:top w:color="60cbf3" w:space="0" w:sz="4" w:val="single"/>
          <w:bottom w:color="60cbf3" w:space="0" w:sz="4" w:val="single"/>
          <w:insideH w:color="60cbf3" w:space="0" w:sz="4" w:val="single"/>
          <w:insideV w:color="60cbf3" w:space="0" w:sz="4" w:val="single"/>
        </w:tblBorders>
        <w:tblLayout w:type="fixed"/>
        <w:tblLook w:val="0400"/>
      </w:tblPr>
      <w:tblGrid>
        <w:gridCol w:w="700"/>
        <w:gridCol w:w="4300"/>
        <w:gridCol w:w="2860"/>
        <w:gridCol w:w="1500"/>
        <w:tblGridChange w:id="0">
          <w:tblGrid>
            <w:gridCol w:w="700"/>
            <w:gridCol w:w="4300"/>
            <w:gridCol w:w="2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12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12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12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215e99" w:val="clear"/>
          </w:tcPr>
          <w:p w:rsidR="00000000" w:rsidDel="00000000" w:rsidP="00000000" w:rsidRDefault="00000000" w:rsidRPr="00000000" w14:paraId="0000012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 tabla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liquidaciones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RLS, usando el diseño tentativo del SQL.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para las 3 pantallas.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asignar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Formulario de registro de pago en conciliación; marcar obligaciones como PAGADA.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Cobros registrados en el sistema.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asignar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Marcado automático de ATRASADA (trigger o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pg_cron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Semáforo y mora confiables.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asignar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Parametrizar comisión y gastos por contrato; calcular el neto.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Liquidación con montos correctos.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asignar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las pantallas de liquidaciones (admin, ejecutivo, propietario).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financiero completo.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asignar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Carga de documentos a Storage y cola de OCR; decidir la tecnología.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documental funcionando.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asignar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CRUD de propiedades y contratos.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Operación sin SQL manual.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asignar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next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tipos generados, README y Pull Request a </w:t>
            </w:r>
            <w:r w:rsidDel="00000000" w:rsidR="00000000" w:rsidRPr="00000000">
              <w:rPr>
                <w:rFonts w:ascii="Consolas" w:cs="Consolas" w:eastAsia="Consolas" w:hAnsi="Consolas"/>
                <w:color w:val="6b1a2f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Cierre técnico y documental.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40" w:line="264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asignar</w:t>
            </w:r>
          </w:p>
        </w:tc>
      </w:tr>
    </w:tbl>
    <w:p w:rsidR="00000000" w:rsidDel="00000000" w:rsidP="00000000" w:rsidRDefault="00000000" w:rsidRPr="00000000" w14:paraId="00000146">
      <w:pPr>
        <w:pStyle w:val="Heading1"/>
        <w:jc w:val="both"/>
        <w:rPr/>
      </w:pPr>
      <w:bookmarkStart w:colFirst="0" w:colLast="0" w:name="_heading=h.pk52yaekdhmr" w:id="18"/>
      <w:bookmarkEnd w:id="18"/>
      <w:r w:rsidDel="00000000" w:rsidR="00000000" w:rsidRPr="00000000">
        <w:rPr>
          <w:rtl w:val="0"/>
        </w:rPr>
        <w:t xml:space="preserve">11. Conclusión</w:t>
      </w:r>
    </w:p>
    <w:p w:rsidR="00000000" w:rsidDel="00000000" w:rsidP="00000000" w:rsidRDefault="00000000" w:rsidRPr="00000000" w14:paraId="00000147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rama </w:t>
      </w:r>
      <w:r w:rsidDel="00000000" w:rsidR="00000000" w:rsidRPr="00000000">
        <w:rPr>
          <w:rFonts w:ascii="Consolas" w:cs="Consolas" w:eastAsia="Consolas" w:hAnsi="Consolas"/>
          <w:color w:val="6b1a2f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 contiene un MVP sólido y bien estructurado. El modelo de seguridad en tres capas, con el rol como Custom JWT Claim inyectado por trigger, es una solución idiomática para Supabase y un buen punto de defensa. El producto cubre hoy autenticación, autorización, gestión de usuarios y paneles de consulta para los cuatro roles.</w:t>
      </w:r>
    </w:p>
    <w:p w:rsidR="00000000" w:rsidDel="00000000" w:rsidP="00000000" w:rsidRDefault="00000000" w:rsidRPr="00000000" w14:paraId="00000148">
      <w:pPr>
        <w:spacing w:after="12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trabajo restante se concentra en el ciclo de vida financiero (liquidaciones, conciliación activa y documentos), cuya base de datos ya está diseñada y cuyos pendientes están acotados en el propio código. Sumando dos decisiones de proceso, unificar las ramas y alinear los documentos del plan con lo implementado, el proyecto queda bien posicionado para cerrar el ciclo financiero.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200" w:top="130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2b2b2b"/>
        <w:sz w:val="21"/>
        <w:szCs w:val="21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right"/>
      <w:rPr>
        <w:rFonts w:ascii="Calibri" w:cs="Calibri" w:eastAsia="Calibri" w:hAnsi="Calibri"/>
        <w:color w:val="2b2b2b"/>
        <w:sz w:val="21"/>
        <w:szCs w:val="21"/>
      </w:rPr>
    </w:pPr>
    <w:r w:rsidDel="00000000" w:rsidR="00000000" w:rsidRPr="00000000">
      <w:rPr>
        <w:rFonts w:ascii="Calibri" w:cs="Calibri" w:eastAsia="Calibri" w:hAnsi="Calibri"/>
        <w:color w:val="2b2b2b"/>
        <w:sz w:val="21"/>
        <w:szCs w:val="2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pBdr>
        <w:top w:color="b8963e" w:space="6" w:sz="6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2b2b2b"/>
        <w:sz w:val="21"/>
        <w:szCs w:val="2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2b2b2b"/>
        <w:sz w:val="21"/>
        <w:szCs w:val="2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2b2b2b"/>
        <w:sz w:val="21"/>
        <w:szCs w:val="2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3947160</wp:posOffset>
          </wp:positionH>
          <wp:positionV relativeFrom="paragraph">
            <wp:posOffset>-160653</wp:posOffset>
          </wp:positionV>
          <wp:extent cx="1996440" cy="428625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809295519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2b2b2b"/>
        <w:sz w:val="21"/>
        <w:szCs w:val="2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60"/>
      </w:pPr>
      <w:rPr>
        <w:color w:val="b8963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84644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4644A"/>
  </w:style>
  <w:style w:type="paragraph" w:styleId="Piedepgina">
    <w:name w:val="footer"/>
    <w:basedOn w:val="Normal"/>
    <w:link w:val="PiedepginaCar"/>
    <w:uiPriority w:val="99"/>
    <w:unhideWhenUsed w:val="1"/>
    <w:rsid w:val="0084644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4644A"/>
  </w:style>
  <w:style w:type="paragraph" w:styleId="Sinespaciado">
    <w:name w:val="No Spacing"/>
    <w:link w:val="SinespaciadoCar"/>
    <w:uiPriority w:val="1"/>
    <w:qFormat w:val="1"/>
    <w:rsid w:val="00854845"/>
    <w:rPr>
      <w:rFonts w:asciiTheme="minorHAnsi" w:cstheme="minorBidi" w:eastAsiaTheme="minorEastAsia" w:hAnsiTheme="minorHAnsi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854845"/>
    <w:rPr>
      <w:rFonts w:asciiTheme="minorHAnsi" w:cstheme="minorBidi" w:eastAsiaTheme="minorEastAsia" w:hAnsiTheme="minorHAnsi"/>
      <w:color w:val="auto"/>
      <w:sz w:val="22"/>
      <w:szCs w:val="22"/>
    </w:rPr>
  </w:style>
  <w:style w:type="paragraph" w:styleId="TtuloTDC">
    <w:name w:val="TOC Heading"/>
    <w:next w:val="Normal"/>
    <w:uiPriority w:val="39"/>
    <w:unhideWhenUsed w:val="1"/>
    <w:qFormat w:val="1"/>
    <w:rsid w:val="00854845"/>
    <w:pPr>
      <w:keepLines w:val="1"/>
      <w:spacing w:before="240" w:line="259" w:lineRule="auto"/>
    </w:pPr>
    <w:rPr>
      <w:rFonts w:asciiTheme="majorHAnsi" w:cstheme="majorBidi" w:eastAsiaTheme="majorEastAsia" w:hAnsiTheme="majorHAnsi"/>
      <w:color w:val="0f4761" w:themeColor="accent1" w:themeShade="0000BF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85484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854845"/>
    <w:pPr>
      <w:spacing w:after="100"/>
      <w:ind w:left="210"/>
    </w:p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aconcuadrcula2-nfasis1">
    <w:name w:val="Grid Table 2 Accent 1"/>
    <w:basedOn w:val="Tablanormal"/>
    <w:uiPriority w:val="47"/>
    <w:rsid w:val="00C363C4"/>
    <w:pPr>
      <w:spacing w:line="240" w:lineRule="auto"/>
    </w:pPr>
    <w:tblPr>
      <w:tblStyleRowBandSize w:val="1"/>
      <w:tblStyleColBandSize w:val="1"/>
      <w:tblBorders>
        <w:top w:color="45b0e1" w:space="0" w:sz="2" w:themeColor="accent1" w:themeTint="000099" w:val="single"/>
        <w:bottom w:color="45b0e1" w:space="0" w:sz="2" w:themeColor="accent1" w:themeTint="000099" w:val="single"/>
        <w:insideH w:color="45b0e1" w:space="0" w:sz="2" w:themeColor="accent1" w:themeTint="000099" w:val="single"/>
        <w:insideV w:color="45b0e1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45b0e1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45b0e1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C363C4"/>
    <w:pPr>
      <w:spacing w:line="240" w:lineRule="auto"/>
    </w:pPr>
    <w:tblPr>
      <w:tblStyleRowBandSize w:val="1"/>
      <w:tblStyleColBandSize w:val="1"/>
      <w:tblBorders>
        <w:top w:color="60caf3" w:space="0" w:sz="2" w:themeColor="accent4" w:themeTint="000099" w:val="single"/>
        <w:bottom w:color="60caf3" w:space="0" w:sz="2" w:themeColor="accent4" w:themeTint="000099" w:val="single"/>
        <w:insideH w:color="60caf3" w:space="0" w:sz="2" w:themeColor="accent4" w:themeTint="000099" w:val="single"/>
        <w:insideV w:color="60caf3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0caf3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0caf3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45b0e1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5b0e1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45b0e1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5b0e1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aedfb" w:val="clear"/>
      </w:tcPr>
    </w:tblStylePr>
    <w:tblStylePr w:type="band1Vert">
      <w:tcPr>
        <w:shd w:fill="caed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0cbf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0cbf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aedfb" w:val="clear"/>
      </w:tcPr>
    </w:tblStylePr>
    <w:tblStylePr w:type="band1Vert">
      <w:tcPr>
        <w:shd w:fill="caed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0cbf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0cbf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aedfb" w:val="clear"/>
      </w:tcPr>
    </w:tblStylePr>
    <w:tblStylePr w:type="band1Vert">
      <w:tcPr>
        <w:shd w:fill="caed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0cbf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0cbf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aedfb" w:val="clear"/>
      </w:tcPr>
    </w:tblStylePr>
    <w:tblStylePr w:type="band1Vert">
      <w:tcPr>
        <w:shd w:fill="caed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0cbf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0cbf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aedfb" w:val="clear"/>
      </w:tcPr>
    </w:tblStylePr>
    <w:tblStylePr w:type="band1Vert">
      <w:tcPr>
        <w:shd w:fill="caed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0cbf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0cbf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aedfb" w:val="clear"/>
      </w:tcPr>
    </w:tblStylePr>
    <w:tblStylePr w:type="band1Vert">
      <w:tcPr>
        <w:shd w:fill="caed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0cbf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0cbf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aedfb" w:val="clear"/>
      </w:tcPr>
    </w:tblStylePr>
    <w:tblStylePr w:type="band1Vert">
      <w:tcPr>
        <w:shd w:fill="caedfb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0cbf3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0cbf3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/eDVXeIzQMKlKWuz5Oo/q2VP6w==">CgMxLjAyDmguemhhY3VobTNwNzd4Mg5oLnB4bDZycDMxMjVrNjIOaC5hNTY4YzkxZzNtd3YyDmgueG5qa3ltbWE5eXd1Mg5oLnluZGRkMHg5dDNhczIOaC41NmhyOWZveXprZHkyDmguOW90YnVmeHA5bXFhMg5oLmd3bHhxOXN2MTRsczIOaC53dGMzaDVrcnVmNDkyDmguc2FlOGhuYm1xYzkyMg5oLmc0YWNvOTRtM2c3cDIOaC5xeG50d2RoYjZvajcyDmgueWNsaDZpZjRoZTRsMg5oLnlvM255ZzY5YjhyYjIOaC41c2hscDA0MWp5M2QyDWgud3d1bXExcXR0YTAyDmgudjJ3OW1wbXB6c3ZvMg5oLm5nOWFlMXZueGN2azIOaC5wazUyeWFla2RobXI4AHIhMXI3SGd3Vm9qN2RBYUZORWZfQzEzWjVzVWJLT3l2RF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2026-10-16T20:32:00Z</dcterms:created>
  <dc:creator>Equipo NEXO</dc:creator>
</cp:coreProperties>
</file>