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6FEBA" w14:textId="63BACB45" w:rsidR="00C25FD3" w:rsidRPr="009B51AA" w:rsidRDefault="00FD77CC" w:rsidP="009B51AA">
      <w:pPr>
        <w:spacing w:line="240" w:lineRule="auto"/>
        <w:jc w:val="center"/>
        <w:rPr>
          <w:b/>
          <w:bCs/>
          <w:sz w:val="20"/>
          <w:szCs w:val="20"/>
        </w:rPr>
      </w:pPr>
      <w:r w:rsidRPr="009B51AA">
        <w:rPr>
          <w:b/>
          <w:bCs/>
          <w:sz w:val="20"/>
          <w:szCs w:val="20"/>
        </w:rPr>
        <w:t>Resumen Ejecutivo Taller – Pre parcial (Corte 2)</w:t>
      </w:r>
    </w:p>
    <w:p w14:paraId="1464C2B4" w14:textId="648B970B" w:rsidR="005D2CF5" w:rsidRPr="009B51AA" w:rsidRDefault="005D2CF5" w:rsidP="009B51AA">
      <w:pPr>
        <w:pStyle w:val="Prrafodelista"/>
        <w:numPr>
          <w:ilvl w:val="0"/>
          <w:numId w:val="2"/>
        </w:numPr>
        <w:spacing w:line="240" w:lineRule="auto"/>
        <w:jc w:val="both"/>
        <w:rPr>
          <w:b/>
          <w:bCs/>
          <w:sz w:val="20"/>
          <w:szCs w:val="20"/>
        </w:rPr>
      </w:pPr>
      <w:r w:rsidRPr="009B51AA">
        <w:rPr>
          <w:b/>
          <w:bCs/>
          <w:sz w:val="20"/>
          <w:szCs w:val="20"/>
        </w:rPr>
        <w:t xml:space="preserve">Adultos con Ingresos Altos, Gastos </w:t>
      </w:r>
      <w:r w:rsidRPr="009B51AA">
        <w:rPr>
          <w:b/>
          <w:bCs/>
          <w:sz w:val="20"/>
          <w:szCs w:val="20"/>
        </w:rPr>
        <w:t>Bajos</w:t>
      </w:r>
      <w:r w:rsidR="006C68BD" w:rsidRPr="009B51AA">
        <w:rPr>
          <w:b/>
          <w:bCs/>
          <w:sz w:val="20"/>
          <w:szCs w:val="20"/>
        </w:rPr>
        <w:t xml:space="preserve"> (0)</w:t>
      </w:r>
      <w:r w:rsidRPr="009B51AA">
        <w:rPr>
          <w:b/>
          <w:bCs/>
          <w:sz w:val="20"/>
          <w:szCs w:val="20"/>
        </w:rPr>
        <w:t>:</w:t>
      </w:r>
    </w:p>
    <w:p w14:paraId="61689B5D" w14:textId="77777777" w:rsidR="005D2CF5" w:rsidRPr="009B51AA" w:rsidRDefault="005D2CF5" w:rsidP="009B51AA">
      <w:pPr>
        <w:spacing w:line="240" w:lineRule="auto"/>
        <w:jc w:val="both"/>
        <w:rPr>
          <w:sz w:val="20"/>
          <w:szCs w:val="20"/>
        </w:rPr>
      </w:pPr>
      <w:r w:rsidRPr="005D2CF5">
        <w:rPr>
          <w:sz w:val="20"/>
          <w:szCs w:val="20"/>
        </w:rPr>
        <w:t xml:space="preserve">Este grupo se caracteriza por tener un nivel de ingresos significativamente alto, pero sus gastos son relativamente bajos. Esto puede indicar un buen manejo financiero, ahorros considerables o una tendencia a vivir por debajo de sus posibilidades. </w:t>
      </w:r>
    </w:p>
    <w:p w14:paraId="32516306" w14:textId="7E066D01" w:rsidR="005D2CF5" w:rsidRPr="009B51AA" w:rsidRDefault="005D2CF5" w:rsidP="009B51AA">
      <w:pPr>
        <w:pStyle w:val="Prrafodelista"/>
        <w:numPr>
          <w:ilvl w:val="0"/>
          <w:numId w:val="2"/>
        </w:numPr>
        <w:spacing w:line="240" w:lineRule="auto"/>
        <w:jc w:val="both"/>
        <w:rPr>
          <w:b/>
          <w:bCs/>
          <w:sz w:val="20"/>
          <w:szCs w:val="20"/>
        </w:rPr>
      </w:pPr>
      <w:r w:rsidRPr="009B51AA">
        <w:rPr>
          <w:b/>
          <w:bCs/>
          <w:sz w:val="20"/>
          <w:szCs w:val="20"/>
        </w:rPr>
        <w:t xml:space="preserve">Mayores con Ingresos Altos, Gastos </w:t>
      </w:r>
      <w:r w:rsidRPr="009B51AA">
        <w:rPr>
          <w:b/>
          <w:bCs/>
          <w:sz w:val="20"/>
          <w:szCs w:val="20"/>
        </w:rPr>
        <w:t>Medios</w:t>
      </w:r>
      <w:r w:rsidR="006C68BD" w:rsidRPr="009B51AA">
        <w:rPr>
          <w:b/>
          <w:bCs/>
          <w:sz w:val="20"/>
          <w:szCs w:val="20"/>
        </w:rPr>
        <w:t xml:space="preserve"> (1)</w:t>
      </w:r>
      <w:r w:rsidRPr="009B51AA">
        <w:rPr>
          <w:b/>
          <w:bCs/>
          <w:sz w:val="20"/>
          <w:szCs w:val="20"/>
        </w:rPr>
        <w:t>:</w:t>
      </w:r>
    </w:p>
    <w:p w14:paraId="3C91D1D6" w14:textId="77777777" w:rsidR="005D2CF5" w:rsidRPr="009B51AA" w:rsidRDefault="005D2CF5" w:rsidP="009B51AA">
      <w:pPr>
        <w:spacing w:line="240" w:lineRule="auto"/>
        <w:jc w:val="both"/>
        <w:rPr>
          <w:sz w:val="20"/>
          <w:szCs w:val="20"/>
        </w:rPr>
      </w:pPr>
      <w:r w:rsidRPr="005D2CF5">
        <w:rPr>
          <w:sz w:val="20"/>
          <w:szCs w:val="20"/>
        </w:rPr>
        <w:t xml:space="preserve">Este grupo incluye a personas mayores que cuentan con ingresos altos y realizan gastos moderados. Pueden estar en una etapa de vida donde priorizan el ahorro y la planificación de su futura jubilación, o pueden estar disfrutando de sus ingresos de manera equilibrada. </w:t>
      </w:r>
    </w:p>
    <w:p w14:paraId="5423F771" w14:textId="630A1936" w:rsidR="005D2CF5" w:rsidRPr="009B51AA" w:rsidRDefault="005D2CF5" w:rsidP="009B51AA">
      <w:pPr>
        <w:pStyle w:val="Prrafodelista"/>
        <w:numPr>
          <w:ilvl w:val="0"/>
          <w:numId w:val="2"/>
        </w:numPr>
        <w:spacing w:line="240" w:lineRule="auto"/>
        <w:jc w:val="both"/>
        <w:rPr>
          <w:b/>
          <w:bCs/>
          <w:sz w:val="20"/>
          <w:szCs w:val="20"/>
        </w:rPr>
      </w:pPr>
      <w:r w:rsidRPr="009B51AA">
        <w:rPr>
          <w:b/>
          <w:bCs/>
          <w:sz w:val="20"/>
          <w:szCs w:val="20"/>
        </w:rPr>
        <w:t xml:space="preserve">Jóvenes con Ingresos Bajos, Gastos </w:t>
      </w:r>
      <w:r w:rsidRPr="009B51AA">
        <w:rPr>
          <w:b/>
          <w:bCs/>
          <w:sz w:val="20"/>
          <w:szCs w:val="20"/>
        </w:rPr>
        <w:t>Bajos</w:t>
      </w:r>
      <w:r w:rsidR="006C68BD" w:rsidRPr="009B51AA">
        <w:rPr>
          <w:b/>
          <w:bCs/>
          <w:sz w:val="20"/>
          <w:szCs w:val="20"/>
        </w:rPr>
        <w:t xml:space="preserve"> (2)</w:t>
      </w:r>
      <w:r w:rsidRPr="009B51AA">
        <w:rPr>
          <w:b/>
          <w:bCs/>
          <w:sz w:val="20"/>
          <w:szCs w:val="20"/>
        </w:rPr>
        <w:t xml:space="preserve">: </w:t>
      </w:r>
    </w:p>
    <w:p w14:paraId="43009485" w14:textId="5B4A802C" w:rsidR="005D2CF5" w:rsidRPr="009B51AA" w:rsidRDefault="005D2CF5" w:rsidP="009B51AA">
      <w:pPr>
        <w:spacing w:line="240" w:lineRule="auto"/>
        <w:jc w:val="both"/>
        <w:rPr>
          <w:sz w:val="20"/>
          <w:szCs w:val="20"/>
        </w:rPr>
      </w:pPr>
      <w:r w:rsidRPr="009B51AA">
        <w:rPr>
          <w:sz w:val="20"/>
          <w:szCs w:val="20"/>
        </w:rPr>
        <w:t>Este</w:t>
      </w:r>
      <w:r w:rsidRPr="005D2CF5">
        <w:rPr>
          <w:sz w:val="20"/>
          <w:szCs w:val="20"/>
        </w:rPr>
        <w:t xml:space="preserve"> grupo representa a los jóvenes que, a pesar de tener ingresos bajos, también mantienen sus gastos al mínimo. Esto puede ser una estrategia para manejar su situación financiera precaria o un reflejo de una etapa de vida donde aún no han asumido muchas de las responsabilidades financieras. </w:t>
      </w:r>
    </w:p>
    <w:p w14:paraId="2E56B4F4" w14:textId="0B4D8F73" w:rsidR="005D2CF5" w:rsidRPr="009B51AA" w:rsidRDefault="005D2CF5" w:rsidP="009B51AA">
      <w:pPr>
        <w:pStyle w:val="Prrafodelista"/>
        <w:numPr>
          <w:ilvl w:val="0"/>
          <w:numId w:val="2"/>
        </w:numPr>
        <w:spacing w:line="240" w:lineRule="auto"/>
        <w:jc w:val="both"/>
        <w:rPr>
          <w:b/>
          <w:bCs/>
          <w:sz w:val="20"/>
          <w:szCs w:val="20"/>
        </w:rPr>
      </w:pPr>
      <w:r w:rsidRPr="009B51AA">
        <w:rPr>
          <w:b/>
          <w:bCs/>
          <w:sz w:val="20"/>
          <w:szCs w:val="20"/>
        </w:rPr>
        <w:t xml:space="preserve">Adultos con Ingresos Altos, Gastos </w:t>
      </w:r>
      <w:r w:rsidRPr="009B51AA">
        <w:rPr>
          <w:b/>
          <w:bCs/>
          <w:sz w:val="20"/>
          <w:szCs w:val="20"/>
        </w:rPr>
        <w:t>Altos</w:t>
      </w:r>
      <w:r w:rsidR="006C68BD" w:rsidRPr="009B51AA">
        <w:rPr>
          <w:b/>
          <w:bCs/>
          <w:sz w:val="20"/>
          <w:szCs w:val="20"/>
        </w:rPr>
        <w:t xml:space="preserve"> (3)</w:t>
      </w:r>
      <w:r w:rsidRPr="009B51AA">
        <w:rPr>
          <w:b/>
          <w:bCs/>
          <w:sz w:val="20"/>
          <w:szCs w:val="20"/>
        </w:rPr>
        <w:t>:</w:t>
      </w:r>
    </w:p>
    <w:p w14:paraId="4F68C82F" w14:textId="77777777" w:rsidR="005D2CF5" w:rsidRPr="009B51AA" w:rsidRDefault="005D2CF5" w:rsidP="009B51AA">
      <w:pPr>
        <w:spacing w:line="240" w:lineRule="auto"/>
        <w:jc w:val="both"/>
        <w:rPr>
          <w:sz w:val="20"/>
          <w:szCs w:val="20"/>
        </w:rPr>
      </w:pPr>
      <w:r w:rsidRPr="005D2CF5">
        <w:rPr>
          <w:sz w:val="20"/>
          <w:szCs w:val="20"/>
        </w:rPr>
        <w:t>Este grupo se compone de adultos que no solo tienen ingresos altos, sino que también realizan gastos elevados. Esto puede indicar un estilo de vida lujoso, donde se busca maximizar el disfrute presente a gastos de ahorros futuros</w:t>
      </w:r>
    </w:p>
    <w:p w14:paraId="3A7B42B1" w14:textId="1ED0FA42" w:rsidR="006C68BD" w:rsidRPr="005D2CF5" w:rsidRDefault="006C68BD" w:rsidP="009B51AA">
      <w:pPr>
        <w:spacing w:line="240" w:lineRule="auto"/>
        <w:jc w:val="center"/>
        <w:rPr>
          <w:b/>
          <w:bCs/>
          <w:sz w:val="20"/>
          <w:szCs w:val="20"/>
        </w:rPr>
      </w:pPr>
      <w:r w:rsidRPr="009B51AA">
        <w:rPr>
          <w:b/>
          <w:bCs/>
          <w:sz w:val="20"/>
          <w:szCs w:val="20"/>
        </w:rPr>
        <w:t xml:space="preserve">Tabla 1: Resultados por </w:t>
      </w:r>
      <w:proofErr w:type="spellStart"/>
      <w:proofErr w:type="gramStart"/>
      <w:r w:rsidRPr="009B51AA">
        <w:rPr>
          <w:b/>
          <w:bCs/>
          <w:sz w:val="20"/>
          <w:szCs w:val="20"/>
        </w:rPr>
        <w:t>Cluster</w:t>
      </w:r>
      <w:proofErr w:type="spellEnd"/>
      <w:proofErr w:type="gramEnd"/>
    </w:p>
    <w:tbl>
      <w:tblPr>
        <w:tblStyle w:val="Tablaconcuadrcula"/>
        <w:tblW w:w="10047" w:type="dxa"/>
        <w:jc w:val="center"/>
        <w:tblLook w:val="04A0" w:firstRow="1" w:lastRow="0" w:firstColumn="1" w:lastColumn="0" w:noHBand="0" w:noVBand="1"/>
      </w:tblPr>
      <w:tblGrid>
        <w:gridCol w:w="3350"/>
        <w:gridCol w:w="1357"/>
        <w:gridCol w:w="1451"/>
        <w:gridCol w:w="2119"/>
        <w:gridCol w:w="1770"/>
      </w:tblGrid>
      <w:tr w:rsidR="005D2CF5" w:rsidRPr="009B51AA" w14:paraId="4794BFE9" w14:textId="77777777" w:rsidTr="009B51AA">
        <w:trPr>
          <w:trHeight w:val="150"/>
          <w:jc w:val="center"/>
        </w:trPr>
        <w:tc>
          <w:tcPr>
            <w:tcW w:w="3351" w:type="dxa"/>
            <w:hideMark/>
          </w:tcPr>
          <w:p w14:paraId="0C6B1B63" w14:textId="77777777" w:rsidR="005D2CF5" w:rsidRPr="005D2CF5" w:rsidRDefault="005D2CF5" w:rsidP="009B51AA">
            <w:pPr>
              <w:jc w:val="both"/>
              <w:rPr>
                <w:rFonts w:eastAsia="Times New Roman" w:cs="Times New Roman"/>
                <w:kern w:val="0"/>
                <w:sz w:val="20"/>
                <w:szCs w:val="20"/>
                <w:lang w:eastAsia="es-CO"/>
                <w14:ligatures w14:val="none"/>
              </w:rPr>
            </w:pPr>
          </w:p>
        </w:tc>
        <w:tc>
          <w:tcPr>
            <w:tcW w:w="0" w:type="auto"/>
            <w:hideMark/>
          </w:tcPr>
          <w:p w14:paraId="04064F9A" w14:textId="77777777" w:rsidR="005D2CF5" w:rsidRPr="005D2CF5" w:rsidRDefault="005D2CF5" w:rsidP="009B51AA">
            <w:pPr>
              <w:jc w:val="both"/>
              <w:rPr>
                <w:rFonts w:eastAsia="Times New Roman" w:cs="Courier New"/>
                <w:b/>
                <w:bCs/>
                <w:kern w:val="0"/>
                <w:sz w:val="20"/>
                <w:szCs w:val="20"/>
                <w:lang w:eastAsia="es-CO"/>
                <w14:ligatures w14:val="none"/>
              </w:rPr>
            </w:pPr>
            <w:proofErr w:type="spellStart"/>
            <w:r w:rsidRPr="005D2CF5">
              <w:rPr>
                <w:rFonts w:eastAsia="Times New Roman" w:cs="Courier New"/>
                <w:b/>
                <w:bCs/>
                <w:kern w:val="0"/>
                <w:sz w:val="20"/>
                <w:szCs w:val="20"/>
                <w:lang w:eastAsia="es-CO"/>
                <w14:ligatures w14:val="none"/>
              </w:rPr>
              <w:t>LTV_mean</w:t>
            </w:r>
            <w:proofErr w:type="spellEnd"/>
          </w:p>
        </w:tc>
        <w:tc>
          <w:tcPr>
            <w:tcW w:w="0" w:type="auto"/>
            <w:hideMark/>
          </w:tcPr>
          <w:p w14:paraId="012887FD" w14:textId="77777777" w:rsidR="005D2CF5" w:rsidRPr="005D2CF5" w:rsidRDefault="005D2CF5" w:rsidP="009B51AA">
            <w:pPr>
              <w:jc w:val="both"/>
              <w:rPr>
                <w:rFonts w:eastAsia="Times New Roman" w:cs="Courier New"/>
                <w:b/>
                <w:bCs/>
                <w:kern w:val="0"/>
                <w:sz w:val="20"/>
                <w:szCs w:val="20"/>
                <w:lang w:eastAsia="es-CO"/>
                <w14:ligatures w14:val="none"/>
              </w:rPr>
            </w:pPr>
            <w:proofErr w:type="spellStart"/>
            <w:r w:rsidRPr="005D2CF5">
              <w:rPr>
                <w:rFonts w:eastAsia="Times New Roman" w:cs="Courier New"/>
                <w:b/>
                <w:bCs/>
                <w:kern w:val="0"/>
                <w:sz w:val="20"/>
                <w:szCs w:val="20"/>
                <w:lang w:eastAsia="es-CO"/>
                <w14:ligatures w14:val="none"/>
              </w:rPr>
              <w:t>CAC_mean</w:t>
            </w:r>
            <w:proofErr w:type="spellEnd"/>
          </w:p>
        </w:tc>
        <w:tc>
          <w:tcPr>
            <w:tcW w:w="0" w:type="auto"/>
            <w:hideMark/>
          </w:tcPr>
          <w:p w14:paraId="0AF59B80" w14:textId="77777777" w:rsidR="005D2CF5" w:rsidRPr="005D2CF5" w:rsidRDefault="005D2CF5" w:rsidP="009B51AA">
            <w:pPr>
              <w:jc w:val="both"/>
              <w:rPr>
                <w:rFonts w:eastAsia="Times New Roman" w:cs="Courier New"/>
                <w:b/>
                <w:bCs/>
                <w:kern w:val="0"/>
                <w:sz w:val="20"/>
                <w:szCs w:val="20"/>
                <w:lang w:eastAsia="es-CO"/>
                <w14:ligatures w14:val="none"/>
              </w:rPr>
            </w:pPr>
            <w:proofErr w:type="spellStart"/>
            <w:r w:rsidRPr="005D2CF5">
              <w:rPr>
                <w:rFonts w:eastAsia="Times New Roman" w:cs="Courier New"/>
                <w:b/>
                <w:bCs/>
                <w:kern w:val="0"/>
                <w:sz w:val="20"/>
                <w:szCs w:val="20"/>
                <w:lang w:eastAsia="es-CO"/>
                <w14:ligatures w14:val="none"/>
              </w:rPr>
              <w:t>Ganancias_mean</w:t>
            </w:r>
            <w:proofErr w:type="spellEnd"/>
          </w:p>
        </w:tc>
        <w:tc>
          <w:tcPr>
            <w:tcW w:w="0" w:type="auto"/>
            <w:hideMark/>
          </w:tcPr>
          <w:p w14:paraId="0B5B45E3" w14:textId="77777777" w:rsidR="005D2CF5" w:rsidRPr="005D2CF5" w:rsidRDefault="005D2CF5" w:rsidP="009B51AA">
            <w:pPr>
              <w:jc w:val="both"/>
              <w:rPr>
                <w:rFonts w:eastAsia="Times New Roman" w:cs="Courier New"/>
                <w:b/>
                <w:bCs/>
                <w:kern w:val="0"/>
                <w:sz w:val="20"/>
                <w:szCs w:val="20"/>
                <w:lang w:eastAsia="es-CO"/>
                <w14:ligatures w14:val="none"/>
              </w:rPr>
            </w:pPr>
            <w:proofErr w:type="spellStart"/>
            <w:r w:rsidRPr="005D2CF5">
              <w:rPr>
                <w:rFonts w:eastAsia="Times New Roman" w:cs="Courier New"/>
                <w:b/>
                <w:bCs/>
                <w:kern w:val="0"/>
                <w:sz w:val="20"/>
                <w:szCs w:val="20"/>
                <w:lang w:eastAsia="es-CO"/>
                <w14:ligatures w14:val="none"/>
              </w:rPr>
              <w:t>Total_clientes</w:t>
            </w:r>
            <w:proofErr w:type="spellEnd"/>
          </w:p>
        </w:tc>
      </w:tr>
      <w:tr w:rsidR="005D2CF5" w:rsidRPr="009B51AA" w14:paraId="0B3E997D" w14:textId="77777777" w:rsidTr="009B51AA">
        <w:trPr>
          <w:trHeight w:val="150"/>
          <w:jc w:val="center"/>
        </w:trPr>
        <w:tc>
          <w:tcPr>
            <w:tcW w:w="3351" w:type="dxa"/>
            <w:hideMark/>
          </w:tcPr>
          <w:p w14:paraId="309336CF" w14:textId="77777777" w:rsidR="005D2CF5" w:rsidRPr="005D2CF5" w:rsidRDefault="005D2CF5" w:rsidP="009B51AA">
            <w:pPr>
              <w:jc w:val="both"/>
              <w:rPr>
                <w:rFonts w:eastAsia="Times New Roman" w:cs="Courier New"/>
                <w:b/>
                <w:bCs/>
                <w:kern w:val="0"/>
                <w:sz w:val="20"/>
                <w:szCs w:val="20"/>
                <w:lang w:eastAsia="es-CO"/>
                <w14:ligatures w14:val="none"/>
              </w:rPr>
            </w:pPr>
            <w:proofErr w:type="spellStart"/>
            <w:proofErr w:type="gramStart"/>
            <w:r w:rsidRPr="005D2CF5">
              <w:rPr>
                <w:rFonts w:eastAsia="Times New Roman" w:cs="Courier New"/>
                <w:b/>
                <w:bCs/>
                <w:kern w:val="0"/>
                <w:sz w:val="20"/>
                <w:szCs w:val="20"/>
                <w:lang w:eastAsia="es-CO"/>
                <w14:ligatures w14:val="none"/>
              </w:rPr>
              <w:t>Cluster</w:t>
            </w:r>
            <w:proofErr w:type="spellEnd"/>
            <w:proofErr w:type="gramEnd"/>
          </w:p>
        </w:tc>
        <w:tc>
          <w:tcPr>
            <w:tcW w:w="0" w:type="auto"/>
            <w:hideMark/>
          </w:tcPr>
          <w:p w14:paraId="1AAA673D" w14:textId="77777777" w:rsidR="005D2CF5" w:rsidRPr="005D2CF5" w:rsidRDefault="005D2CF5" w:rsidP="009B51AA">
            <w:pPr>
              <w:jc w:val="both"/>
              <w:rPr>
                <w:rFonts w:eastAsia="Times New Roman" w:cs="Courier New"/>
                <w:b/>
                <w:bCs/>
                <w:kern w:val="0"/>
                <w:sz w:val="20"/>
                <w:szCs w:val="20"/>
                <w:lang w:eastAsia="es-CO"/>
                <w14:ligatures w14:val="none"/>
              </w:rPr>
            </w:pPr>
          </w:p>
        </w:tc>
        <w:tc>
          <w:tcPr>
            <w:tcW w:w="0" w:type="auto"/>
            <w:hideMark/>
          </w:tcPr>
          <w:p w14:paraId="16473FF1" w14:textId="77777777" w:rsidR="005D2CF5" w:rsidRPr="005D2CF5" w:rsidRDefault="005D2CF5" w:rsidP="009B51AA">
            <w:pPr>
              <w:jc w:val="both"/>
              <w:rPr>
                <w:rFonts w:eastAsia="Times New Roman" w:cs="Times New Roman"/>
                <w:kern w:val="0"/>
                <w:sz w:val="20"/>
                <w:szCs w:val="20"/>
                <w:lang w:eastAsia="es-CO"/>
                <w14:ligatures w14:val="none"/>
              </w:rPr>
            </w:pPr>
          </w:p>
        </w:tc>
        <w:tc>
          <w:tcPr>
            <w:tcW w:w="0" w:type="auto"/>
            <w:hideMark/>
          </w:tcPr>
          <w:p w14:paraId="466CBD8B" w14:textId="77777777" w:rsidR="005D2CF5" w:rsidRPr="005D2CF5" w:rsidRDefault="005D2CF5" w:rsidP="009B51AA">
            <w:pPr>
              <w:jc w:val="both"/>
              <w:rPr>
                <w:rFonts w:eastAsia="Times New Roman" w:cs="Times New Roman"/>
                <w:kern w:val="0"/>
                <w:sz w:val="20"/>
                <w:szCs w:val="20"/>
                <w:lang w:eastAsia="es-CO"/>
                <w14:ligatures w14:val="none"/>
              </w:rPr>
            </w:pPr>
          </w:p>
        </w:tc>
        <w:tc>
          <w:tcPr>
            <w:tcW w:w="0" w:type="auto"/>
            <w:hideMark/>
          </w:tcPr>
          <w:p w14:paraId="54B051CA" w14:textId="77777777" w:rsidR="005D2CF5" w:rsidRPr="005D2CF5" w:rsidRDefault="005D2CF5" w:rsidP="009B51AA">
            <w:pPr>
              <w:jc w:val="both"/>
              <w:rPr>
                <w:rFonts w:eastAsia="Times New Roman" w:cs="Times New Roman"/>
                <w:kern w:val="0"/>
                <w:sz w:val="20"/>
                <w:szCs w:val="20"/>
                <w:lang w:eastAsia="es-CO"/>
                <w14:ligatures w14:val="none"/>
              </w:rPr>
            </w:pPr>
          </w:p>
        </w:tc>
      </w:tr>
      <w:tr w:rsidR="005D2CF5" w:rsidRPr="009B51AA" w14:paraId="7C71454B" w14:textId="77777777" w:rsidTr="009B51AA">
        <w:trPr>
          <w:trHeight w:val="157"/>
          <w:jc w:val="center"/>
        </w:trPr>
        <w:tc>
          <w:tcPr>
            <w:tcW w:w="3351" w:type="dxa"/>
            <w:hideMark/>
          </w:tcPr>
          <w:p w14:paraId="7B93017C" w14:textId="461A65D6" w:rsidR="005D2CF5" w:rsidRPr="005D2CF5" w:rsidRDefault="006C68BD" w:rsidP="009B51AA">
            <w:pPr>
              <w:jc w:val="both"/>
              <w:rPr>
                <w:rFonts w:eastAsia="Times New Roman" w:cs="Times New Roman"/>
                <w:b/>
                <w:bCs/>
                <w:kern w:val="0"/>
                <w:sz w:val="20"/>
                <w:szCs w:val="20"/>
                <w:lang w:eastAsia="es-CO"/>
                <w14:ligatures w14:val="none"/>
              </w:rPr>
            </w:pPr>
            <w:r w:rsidRPr="009B51AA">
              <w:rPr>
                <w:rFonts w:eastAsia="Times New Roman" w:cs="Times New Roman"/>
                <w:b/>
                <w:bCs/>
                <w:kern w:val="0"/>
                <w:sz w:val="20"/>
                <w:szCs w:val="20"/>
                <w:lang w:eastAsia="es-CO"/>
                <w14:ligatures w14:val="none"/>
              </w:rPr>
              <w:t>Adultos con Ingresos Altos, Gastos Bajos</w:t>
            </w:r>
          </w:p>
        </w:tc>
        <w:tc>
          <w:tcPr>
            <w:tcW w:w="0" w:type="auto"/>
            <w:hideMark/>
          </w:tcPr>
          <w:p w14:paraId="51ACF146" w14:textId="77777777" w:rsidR="005D2CF5" w:rsidRPr="005D2CF5" w:rsidRDefault="005D2CF5" w:rsidP="009B51AA">
            <w:pPr>
              <w:jc w:val="both"/>
              <w:rPr>
                <w:rFonts w:eastAsia="Times New Roman" w:cs="Times New Roman"/>
                <w:kern w:val="0"/>
                <w:sz w:val="20"/>
                <w:szCs w:val="20"/>
                <w:lang w:eastAsia="es-CO"/>
                <w14:ligatures w14:val="none"/>
              </w:rPr>
            </w:pPr>
            <w:r w:rsidRPr="005D2CF5">
              <w:rPr>
                <w:rFonts w:eastAsia="Times New Roman" w:cs="Times New Roman"/>
                <w:kern w:val="0"/>
                <w:sz w:val="20"/>
                <w:szCs w:val="20"/>
                <w:lang w:eastAsia="es-CO"/>
                <w14:ligatures w14:val="none"/>
              </w:rPr>
              <w:t>24.337401</w:t>
            </w:r>
          </w:p>
        </w:tc>
        <w:tc>
          <w:tcPr>
            <w:tcW w:w="0" w:type="auto"/>
            <w:hideMark/>
          </w:tcPr>
          <w:p w14:paraId="72B0F4C0" w14:textId="77777777" w:rsidR="005D2CF5" w:rsidRPr="005D2CF5" w:rsidRDefault="005D2CF5" w:rsidP="009B51AA">
            <w:pPr>
              <w:jc w:val="both"/>
              <w:rPr>
                <w:rFonts w:eastAsia="Times New Roman" w:cs="Times New Roman"/>
                <w:kern w:val="0"/>
                <w:sz w:val="20"/>
                <w:szCs w:val="20"/>
                <w:lang w:eastAsia="es-CO"/>
                <w14:ligatures w14:val="none"/>
              </w:rPr>
            </w:pPr>
            <w:r w:rsidRPr="005D2CF5">
              <w:rPr>
                <w:rFonts w:eastAsia="Times New Roman" w:cs="Times New Roman"/>
                <w:kern w:val="0"/>
                <w:sz w:val="20"/>
                <w:szCs w:val="20"/>
                <w:lang w:eastAsia="es-CO"/>
                <w14:ligatures w14:val="none"/>
              </w:rPr>
              <w:t>18.007781</w:t>
            </w:r>
          </w:p>
        </w:tc>
        <w:tc>
          <w:tcPr>
            <w:tcW w:w="0" w:type="auto"/>
            <w:hideMark/>
          </w:tcPr>
          <w:p w14:paraId="09AA604A" w14:textId="77777777" w:rsidR="005D2CF5" w:rsidRPr="005D2CF5" w:rsidRDefault="005D2CF5" w:rsidP="009B51AA">
            <w:pPr>
              <w:jc w:val="both"/>
              <w:rPr>
                <w:rFonts w:eastAsia="Times New Roman" w:cs="Times New Roman"/>
                <w:kern w:val="0"/>
                <w:sz w:val="20"/>
                <w:szCs w:val="20"/>
                <w:lang w:eastAsia="es-CO"/>
                <w14:ligatures w14:val="none"/>
              </w:rPr>
            </w:pPr>
            <w:r w:rsidRPr="005D2CF5">
              <w:rPr>
                <w:rFonts w:eastAsia="Times New Roman" w:cs="Times New Roman"/>
                <w:kern w:val="0"/>
                <w:sz w:val="20"/>
                <w:szCs w:val="20"/>
                <w:lang w:eastAsia="es-CO"/>
                <w14:ligatures w14:val="none"/>
              </w:rPr>
              <w:t>6.329619</w:t>
            </w:r>
          </w:p>
        </w:tc>
        <w:tc>
          <w:tcPr>
            <w:tcW w:w="0" w:type="auto"/>
            <w:hideMark/>
          </w:tcPr>
          <w:p w14:paraId="683CB825" w14:textId="77777777" w:rsidR="005D2CF5" w:rsidRPr="005D2CF5" w:rsidRDefault="005D2CF5" w:rsidP="009B51AA">
            <w:pPr>
              <w:jc w:val="both"/>
              <w:rPr>
                <w:rFonts w:eastAsia="Times New Roman" w:cs="Times New Roman"/>
                <w:kern w:val="0"/>
                <w:sz w:val="20"/>
                <w:szCs w:val="20"/>
                <w:lang w:eastAsia="es-CO"/>
                <w14:ligatures w14:val="none"/>
              </w:rPr>
            </w:pPr>
            <w:r w:rsidRPr="005D2CF5">
              <w:rPr>
                <w:rFonts w:eastAsia="Times New Roman" w:cs="Times New Roman"/>
                <w:kern w:val="0"/>
                <w:sz w:val="20"/>
                <w:szCs w:val="20"/>
                <w:lang w:eastAsia="es-CO"/>
                <w14:ligatures w14:val="none"/>
              </w:rPr>
              <w:t>5012</w:t>
            </w:r>
          </w:p>
        </w:tc>
      </w:tr>
      <w:tr w:rsidR="005D2CF5" w:rsidRPr="009B51AA" w14:paraId="03648C0C" w14:textId="77777777" w:rsidTr="009B51AA">
        <w:trPr>
          <w:trHeight w:val="150"/>
          <w:jc w:val="center"/>
        </w:trPr>
        <w:tc>
          <w:tcPr>
            <w:tcW w:w="3351" w:type="dxa"/>
            <w:hideMark/>
          </w:tcPr>
          <w:p w14:paraId="207C56FE" w14:textId="5D757BCB" w:rsidR="005D2CF5" w:rsidRPr="005D2CF5" w:rsidRDefault="006C68BD" w:rsidP="009B51AA">
            <w:pPr>
              <w:jc w:val="both"/>
              <w:rPr>
                <w:rFonts w:eastAsia="Times New Roman" w:cs="Times New Roman"/>
                <w:b/>
                <w:bCs/>
                <w:kern w:val="0"/>
                <w:sz w:val="20"/>
                <w:szCs w:val="20"/>
                <w:lang w:eastAsia="es-CO"/>
                <w14:ligatures w14:val="none"/>
              </w:rPr>
            </w:pPr>
            <w:r w:rsidRPr="009B51AA">
              <w:rPr>
                <w:rFonts w:eastAsia="Times New Roman" w:cs="Times New Roman"/>
                <w:b/>
                <w:bCs/>
                <w:kern w:val="0"/>
                <w:sz w:val="20"/>
                <w:szCs w:val="20"/>
                <w:lang w:eastAsia="es-CO"/>
                <w14:ligatures w14:val="none"/>
              </w:rPr>
              <w:t>Mayores con Ingresos Altos, Gastos Medios</w:t>
            </w:r>
          </w:p>
        </w:tc>
        <w:tc>
          <w:tcPr>
            <w:tcW w:w="0" w:type="auto"/>
            <w:hideMark/>
          </w:tcPr>
          <w:p w14:paraId="5D2214C8" w14:textId="77777777" w:rsidR="005D2CF5" w:rsidRPr="005D2CF5" w:rsidRDefault="005D2CF5" w:rsidP="009B51AA">
            <w:pPr>
              <w:jc w:val="both"/>
              <w:rPr>
                <w:rFonts w:eastAsia="Times New Roman" w:cs="Times New Roman"/>
                <w:kern w:val="0"/>
                <w:sz w:val="20"/>
                <w:szCs w:val="20"/>
                <w:lang w:eastAsia="es-CO"/>
                <w14:ligatures w14:val="none"/>
              </w:rPr>
            </w:pPr>
            <w:r w:rsidRPr="005D2CF5">
              <w:rPr>
                <w:rFonts w:eastAsia="Times New Roman" w:cs="Times New Roman"/>
                <w:kern w:val="0"/>
                <w:sz w:val="20"/>
                <w:szCs w:val="20"/>
                <w:lang w:eastAsia="es-CO"/>
                <w14:ligatures w14:val="none"/>
              </w:rPr>
              <w:t>41.000910</w:t>
            </w:r>
          </w:p>
        </w:tc>
        <w:tc>
          <w:tcPr>
            <w:tcW w:w="0" w:type="auto"/>
            <w:hideMark/>
          </w:tcPr>
          <w:p w14:paraId="7F841392" w14:textId="77777777" w:rsidR="005D2CF5" w:rsidRPr="005D2CF5" w:rsidRDefault="005D2CF5" w:rsidP="009B51AA">
            <w:pPr>
              <w:jc w:val="both"/>
              <w:rPr>
                <w:rFonts w:eastAsia="Times New Roman" w:cs="Times New Roman"/>
                <w:kern w:val="0"/>
                <w:sz w:val="20"/>
                <w:szCs w:val="20"/>
                <w:lang w:eastAsia="es-CO"/>
                <w14:ligatures w14:val="none"/>
              </w:rPr>
            </w:pPr>
            <w:r w:rsidRPr="005D2CF5">
              <w:rPr>
                <w:rFonts w:eastAsia="Times New Roman" w:cs="Times New Roman"/>
                <w:kern w:val="0"/>
                <w:sz w:val="20"/>
                <w:szCs w:val="20"/>
                <w:lang w:eastAsia="es-CO"/>
                <w14:ligatures w14:val="none"/>
              </w:rPr>
              <w:t>24.531087</w:t>
            </w:r>
          </w:p>
        </w:tc>
        <w:tc>
          <w:tcPr>
            <w:tcW w:w="0" w:type="auto"/>
            <w:hideMark/>
          </w:tcPr>
          <w:p w14:paraId="08EFBCDB" w14:textId="77777777" w:rsidR="005D2CF5" w:rsidRPr="005D2CF5" w:rsidRDefault="005D2CF5" w:rsidP="009B51AA">
            <w:pPr>
              <w:jc w:val="both"/>
              <w:rPr>
                <w:rFonts w:eastAsia="Times New Roman" w:cs="Times New Roman"/>
                <w:kern w:val="0"/>
                <w:sz w:val="20"/>
                <w:szCs w:val="20"/>
                <w:lang w:eastAsia="es-CO"/>
                <w14:ligatures w14:val="none"/>
              </w:rPr>
            </w:pPr>
            <w:r w:rsidRPr="005D2CF5">
              <w:rPr>
                <w:rFonts w:eastAsia="Times New Roman" w:cs="Times New Roman"/>
                <w:kern w:val="0"/>
                <w:sz w:val="20"/>
                <w:szCs w:val="20"/>
                <w:lang w:eastAsia="es-CO"/>
                <w14:ligatures w14:val="none"/>
              </w:rPr>
              <w:t>16.469823</w:t>
            </w:r>
          </w:p>
        </w:tc>
        <w:tc>
          <w:tcPr>
            <w:tcW w:w="0" w:type="auto"/>
            <w:hideMark/>
          </w:tcPr>
          <w:p w14:paraId="702CD7ED" w14:textId="77777777" w:rsidR="005D2CF5" w:rsidRPr="005D2CF5" w:rsidRDefault="005D2CF5" w:rsidP="009B51AA">
            <w:pPr>
              <w:jc w:val="both"/>
              <w:rPr>
                <w:rFonts w:eastAsia="Times New Roman" w:cs="Times New Roman"/>
                <w:kern w:val="0"/>
                <w:sz w:val="20"/>
                <w:szCs w:val="20"/>
                <w:lang w:eastAsia="es-CO"/>
                <w14:ligatures w14:val="none"/>
              </w:rPr>
            </w:pPr>
            <w:r w:rsidRPr="005D2CF5">
              <w:rPr>
                <w:rFonts w:eastAsia="Times New Roman" w:cs="Times New Roman"/>
                <w:kern w:val="0"/>
                <w:sz w:val="20"/>
                <w:szCs w:val="20"/>
                <w:lang w:eastAsia="es-CO"/>
                <w14:ligatures w14:val="none"/>
              </w:rPr>
              <w:t>2493</w:t>
            </w:r>
          </w:p>
        </w:tc>
      </w:tr>
      <w:tr w:rsidR="005D2CF5" w:rsidRPr="009B51AA" w14:paraId="50570EA5" w14:textId="77777777" w:rsidTr="009B51AA">
        <w:trPr>
          <w:trHeight w:val="150"/>
          <w:jc w:val="center"/>
        </w:trPr>
        <w:tc>
          <w:tcPr>
            <w:tcW w:w="3351" w:type="dxa"/>
            <w:hideMark/>
          </w:tcPr>
          <w:p w14:paraId="435D6008" w14:textId="57F1297E" w:rsidR="005D2CF5" w:rsidRPr="005D2CF5" w:rsidRDefault="006C68BD" w:rsidP="009B51AA">
            <w:pPr>
              <w:jc w:val="both"/>
              <w:rPr>
                <w:rFonts w:eastAsia="Times New Roman" w:cs="Times New Roman"/>
                <w:b/>
                <w:bCs/>
                <w:kern w:val="0"/>
                <w:sz w:val="20"/>
                <w:szCs w:val="20"/>
                <w:lang w:eastAsia="es-CO"/>
                <w14:ligatures w14:val="none"/>
              </w:rPr>
            </w:pPr>
            <w:r w:rsidRPr="009B51AA">
              <w:rPr>
                <w:rFonts w:eastAsia="Times New Roman" w:cs="Times New Roman"/>
                <w:b/>
                <w:bCs/>
                <w:kern w:val="0"/>
                <w:sz w:val="20"/>
                <w:szCs w:val="20"/>
                <w:lang w:eastAsia="es-CO"/>
                <w14:ligatures w14:val="none"/>
              </w:rPr>
              <w:t>Jóvenes</w:t>
            </w:r>
            <w:r w:rsidRPr="009B51AA">
              <w:rPr>
                <w:rFonts w:eastAsia="Times New Roman" w:cs="Times New Roman"/>
                <w:b/>
                <w:bCs/>
                <w:kern w:val="0"/>
                <w:sz w:val="20"/>
                <w:szCs w:val="20"/>
                <w:lang w:eastAsia="es-CO"/>
                <w14:ligatures w14:val="none"/>
              </w:rPr>
              <w:t xml:space="preserve"> con Ingresos Bajos, Gastos Bajos</w:t>
            </w:r>
          </w:p>
        </w:tc>
        <w:tc>
          <w:tcPr>
            <w:tcW w:w="0" w:type="auto"/>
            <w:hideMark/>
          </w:tcPr>
          <w:p w14:paraId="7039EB2B" w14:textId="77777777" w:rsidR="005D2CF5" w:rsidRPr="005D2CF5" w:rsidRDefault="005D2CF5" w:rsidP="009B51AA">
            <w:pPr>
              <w:jc w:val="both"/>
              <w:rPr>
                <w:rFonts w:eastAsia="Times New Roman" w:cs="Times New Roman"/>
                <w:kern w:val="0"/>
                <w:sz w:val="20"/>
                <w:szCs w:val="20"/>
                <w:lang w:eastAsia="es-CO"/>
                <w14:ligatures w14:val="none"/>
              </w:rPr>
            </w:pPr>
            <w:r w:rsidRPr="005D2CF5">
              <w:rPr>
                <w:rFonts w:eastAsia="Times New Roman" w:cs="Times New Roman"/>
                <w:kern w:val="0"/>
                <w:sz w:val="20"/>
                <w:szCs w:val="20"/>
                <w:lang w:eastAsia="es-CO"/>
                <w14:ligatures w14:val="none"/>
              </w:rPr>
              <w:t>22.365963</w:t>
            </w:r>
          </w:p>
        </w:tc>
        <w:tc>
          <w:tcPr>
            <w:tcW w:w="0" w:type="auto"/>
            <w:hideMark/>
          </w:tcPr>
          <w:p w14:paraId="78FFCFC5" w14:textId="77777777" w:rsidR="005D2CF5" w:rsidRPr="005D2CF5" w:rsidRDefault="005D2CF5" w:rsidP="009B51AA">
            <w:pPr>
              <w:jc w:val="both"/>
              <w:rPr>
                <w:rFonts w:eastAsia="Times New Roman" w:cs="Times New Roman"/>
                <w:kern w:val="0"/>
                <w:sz w:val="20"/>
                <w:szCs w:val="20"/>
                <w:lang w:eastAsia="es-CO"/>
                <w14:ligatures w14:val="none"/>
              </w:rPr>
            </w:pPr>
            <w:r w:rsidRPr="005D2CF5">
              <w:rPr>
                <w:rFonts w:eastAsia="Times New Roman" w:cs="Times New Roman"/>
                <w:kern w:val="0"/>
                <w:sz w:val="20"/>
                <w:szCs w:val="20"/>
                <w:lang w:eastAsia="es-CO"/>
                <w14:ligatures w14:val="none"/>
              </w:rPr>
              <w:t>15.862367</w:t>
            </w:r>
          </w:p>
        </w:tc>
        <w:tc>
          <w:tcPr>
            <w:tcW w:w="0" w:type="auto"/>
            <w:hideMark/>
          </w:tcPr>
          <w:p w14:paraId="08D2C237" w14:textId="77777777" w:rsidR="005D2CF5" w:rsidRPr="005D2CF5" w:rsidRDefault="005D2CF5" w:rsidP="009B51AA">
            <w:pPr>
              <w:jc w:val="both"/>
              <w:rPr>
                <w:rFonts w:eastAsia="Times New Roman" w:cs="Times New Roman"/>
                <w:kern w:val="0"/>
                <w:sz w:val="20"/>
                <w:szCs w:val="20"/>
                <w:lang w:eastAsia="es-CO"/>
                <w14:ligatures w14:val="none"/>
              </w:rPr>
            </w:pPr>
            <w:r w:rsidRPr="005D2CF5">
              <w:rPr>
                <w:rFonts w:eastAsia="Times New Roman" w:cs="Times New Roman"/>
                <w:kern w:val="0"/>
                <w:sz w:val="20"/>
                <w:szCs w:val="20"/>
                <w:lang w:eastAsia="es-CO"/>
                <w14:ligatures w14:val="none"/>
              </w:rPr>
              <w:t>6.503596</w:t>
            </w:r>
          </w:p>
        </w:tc>
        <w:tc>
          <w:tcPr>
            <w:tcW w:w="0" w:type="auto"/>
            <w:hideMark/>
          </w:tcPr>
          <w:p w14:paraId="18715F05" w14:textId="77777777" w:rsidR="005D2CF5" w:rsidRPr="005D2CF5" w:rsidRDefault="005D2CF5" w:rsidP="009B51AA">
            <w:pPr>
              <w:jc w:val="both"/>
              <w:rPr>
                <w:rFonts w:eastAsia="Times New Roman" w:cs="Times New Roman"/>
                <w:kern w:val="0"/>
                <w:sz w:val="20"/>
                <w:szCs w:val="20"/>
                <w:lang w:eastAsia="es-CO"/>
                <w14:ligatures w14:val="none"/>
              </w:rPr>
            </w:pPr>
            <w:r w:rsidRPr="005D2CF5">
              <w:rPr>
                <w:rFonts w:eastAsia="Times New Roman" w:cs="Times New Roman"/>
                <w:kern w:val="0"/>
                <w:sz w:val="20"/>
                <w:szCs w:val="20"/>
                <w:lang w:eastAsia="es-CO"/>
                <w14:ligatures w14:val="none"/>
              </w:rPr>
              <w:t>5907</w:t>
            </w:r>
          </w:p>
        </w:tc>
      </w:tr>
      <w:tr w:rsidR="005D2CF5" w:rsidRPr="009B51AA" w14:paraId="26BCF7C5" w14:textId="77777777" w:rsidTr="009B51AA">
        <w:trPr>
          <w:trHeight w:val="150"/>
          <w:jc w:val="center"/>
        </w:trPr>
        <w:tc>
          <w:tcPr>
            <w:tcW w:w="3351" w:type="dxa"/>
            <w:hideMark/>
          </w:tcPr>
          <w:p w14:paraId="36D9A2E3" w14:textId="31EAE427" w:rsidR="005D2CF5" w:rsidRPr="005D2CF5" w:rsidRDefault="006C68BD" w:rsidP="009B51AA">
            <w:pPr>
              <w:jc w:val="both"/>
              <w:rPr>
                <w:rFonts w:eastAsia="Times New Roman" w:cs="Times New Roman"/>
                <w:b/>
                <w:bCs/>
                <w:kern w:val="0"/>
                <w:sz w:val="20"/>
                <w:szCs w:val="20"/>
                <w:lang w:eastAsia="es-CO"/>
                <w14:ligatures w14:val="none"/>
              </w:rPr>
            </w:pPr>
            <w:r w:rsidRPr="009B51AA">
              <w:rPr>
                <w:rFonts w:eastAsia="Times New Roman" w:cs="Times New Roman"/>
                <w:b/>
                <w:bCs/>
                <w:kern w:val="0"/>
                <w:sz w:val="20"/>
                <w:szCs w:val="20"/>
                <w:lang w:eastAsia="es-CO"/>
                <w14:ligatures w14:val="none"/>
              </w:rPr>
              <w:t>Adultos con Ingresos Altos, Gastos Altos</w:t>
            </w:r>
          </w:p>
        </w:tc>
        <w:tc>
          <w:tcPr>
            <w:tcW w:w="0" w:type="auto"/>
            <w:hideMark/>
          </w:tcPr>
          <w:p w14:paraId="564ABB3A" w14:textId="77777777" w:rsidR="005D2CF5" w:rsidRPr="005D2CF5" w:rsidRDefault="005D2CF5" w:rsidP="009B51AA">
            <w:pPr>
              <w:jc w:val="both"/>
              <w:rPr>
                <w:rFonts w:eastAsia="Times New Roman" w:cs="Times New Roman"/>
                <w:kern w:val="0"/>
                <w:sz w:val="20"/>
                <w:szCs w:val="20"/>
                <w:lang w:eastAsia="es-CO"/>
                <w14:ligatures w14:val="none"/>
              </w:rPr>
            </w:pPr>
            <w:r w:rsidRPr="005D2CF5">
              <w:rPr>
                <w:rFonts w:eastAsia="Times New Roman" w:cs="Times New Roman"/>
                <w:kern w:val="0"/>
                <w:sz w:val="20"/>
                <w:szCs w:val="20"/>
                <w:lang w:eastAsia="es-CO"/>
                <w14:ligatures w14:val="none"/>
              </w:rPr>
              <w:t>96.301177</w:t>
            </w:r>
          </w:p>
        </w:tc>
        <w:tc>
          <w:tcPr>
            <w:tcW w:w="0" w:type="auto"/>
            <w:hideMark/>
          </w:tcPr>
          <w:p w14:paraId="0BFD74F8" w14:textId="77777777" w:rsidR="005D2CF5" w:rsidRPr="005D2CF5" w:rsidRDefault="005D2CF5" w:rsidP="009B51AA">
            <w:pPr>
              <w:jc w:val="both"/>
              <w:rPr>
                <w:rFonts w:eastAsia="Times New Roman" w:cs="Times New Roman"/>
                <w:kern w:val="0"/>
                <w:sz w:val="20"/>
                <w:szCs w:val="20"/>
                <w:lang w:eastAsia="es-CO"/>
                <w14:ligatures w14:val="none"/>
              </w:rPr>
            </w:pPr>
            <w:r w:rsidRPr="005D2CF5">
              <w:rPr>
                <w:rFonts w:eastAsia="Times New Roman" w:cs="Times New Roman"/>
                <w:kern w:val="0"/>
                <w:sz w:val="20"/>
                <w:szCs w:val="20"/>
                <w:lang w:eastAsia="es-CO"/>
                <w14:ligatures w14:val="none"/>
              </w:rPr>
              <w:t>24.470403</w:t>
            </w:r>
          </w:p>
        </w:tc>
        <w:tc>
          <w:tcPr>
            <w:tcW w:w="0" w:type="auto"/>
            <w:hideMark/>
          </w:tcPr>
          <w:p w14:paraId="157CF9DB" w14:textId="77777777" w:rsidR="005D2CF5" w:rsidRPr="005D2CF5" w:rsidRDefault="005D2CF5" w:rsidP="009B51AA">
            <w:pPr>
              <w:jc w:val="both"/>
              <w:rPr>
                <w:rFonts w:eastAsia="Times New Roman" w:cs="Times New Roman"/>
                <w:kern w:val="0"/>
                <w:sz w:val="20"/>
                <w:szCs w:val="20"/>
                <w:lang w:eastAsia="es-CO"/>
                <w14:ligatures w14:val="none"/>
              </w:rPr>
            </w:pPr>
            <w:r w:rsidRPr="005D2CF5">
              <w:rPr>
                <w:rFonts w:eastAsia="Times New Roman" w:cs="Times New Roman"/>
                <w:kern w:val="0"/>
                <w:sz w:val="20"/>
                <w:szCs w:val="20"/>
                <w:lang w:eastAsia="es-CO"/>
                <w14:ligatures w14:val="none"/>
              </w:rPr>
              <w:t>71.830774</w:t>
            </w:r>
          </w:p>
        </w:tc>
        <w:tc>
          <w:tcPr>
            <w:tcW w:w="0" w:type="auto"/>
            <w:hideMark/>
          </w:tcPr>
          <w:p w14:paraId="7689FD07" w14:textId="77777777" w:rsidR="005D2CF5" w:rsidRPr="005D2CF5" w:rsidRDefault="005D2CF5" w:rsidP="009B51AA">
            <w:pPr>
              <w:jc w:val="both"/>
              <w:rPr>
                <w:rFonts w:eastAsia="Times New Roman" w:cs="Times New Roman"/>
                <w:kern w:val="0"/>
                <w:sz w:val="20"/>
                <w:szCs w:val="20"/>
                <w:lang w:eastAsia="es-CO"/>
                <w14:ligatures w14:val="none"/>
              </w:rPr>
            </w:pPr>
            <w:r w:rsidRPr="005D2CF5">
              <w:rPr>
                <w:rFonts w:eastAsia="Times New Roman" w:cs="Times New Roman"/>
                <w:kern w:val="0"/>
                <w:sz w:val="20"/>
                <w:szCs w:val="20"/>
                <w:lang w:eastAsia="es-CO"/>
                <w14:ligatures w14:val="none"/>
              </w:rPr>
              <w:t>1588</w:t>
            </w:r>
          </w:p>
        </w:tc>
      </w:tr>
    </w:tbl>
    <w:p w14:paraId="4D46FD50" w14:textId="3DE40CA2" w:rsidR="009B51AA" w:rsidRPr="009B51AA" w:rsidRDefault="009B51AA" w:rsidP="009B51AA">
      <w:pPr>
        <w:spacing w:line="240" w:lineRule="auto"/>
        <w:jc w:val="both"/>
        <w:rPr>
          <w:b/>
          <w:bCs/>
          <w:sz w:val="20"/>
          <w:szCs w:val="20"/>
        </w:rPr>
      </w:pPr>
      <w:r w:rsidRPr="009B51AA">
        <w:rPr>
          <w:b/>
          <w:bCs/>
          <w:sz w:val="20"/>
          <w:szCs w:val="20"/>
        </w:rPr>
        <w:t>Estrategia de inversión</w:t>
      </w:r>
    </w:p>
    <w:p w14:paraId="0EE9DEA3" w14:textId="458A5490" w:rsidR="009B51AA" w:rsidRPr="009B51AA" w:rsidRDefault="009B51AA" w:rsidP="009B51AA">
      <w:pPr>
        <w:spacing w:line="240" w:lineRule="auto"/>
        <w:jc w:val="both"/>
        <w:rPr>
          <w:sz w:val="20"/>
          <w:szCs w:val="20"/>
        </w:rPr>
      </w:pPr>
      <w:r w:rsidRPr="009B51AA">
        <w:rPr>
          <w:sz w:val="20"/>
          <w:szCs w:val="20"/>
        </w:rPr>
        <w:t xml:space="preserve">La inversión de $10,000 </w:t>
      </w:r>
      <w:r>
        <w:rPr>
          <w:sz w:val="20"/>
          <w:szCs w:val="20"/>
        </w:rPr>
        <w:t xml:space="preserve">USD </w:t>
      </w:r>
      <w:r w:rsidRPr="009B51AA">
        <w:rPr>
          <w:sz w:val="20"/>
          <w:szCs w:val="20"/>
        </w:rPr>
        <w:t xml:space="preserve">en estrategias de marketing se destinará específicamente a dos segmentos clave: </w:t>
      </w:r>
      <w:r w:rsidRPr="009B51AA">
        <w:rPr>
          <w:i/>
          <w:iCs/>
          <w:sz w:val="20"/>
          <w:szCs w:val="20"/>
        </w:rPr>
        <w:t>"Adultos con Ingresos Altos y Gastos Altos"</w:t>
      </w:r>
      <w:r w:rsidRPr="009B51AA">
        <w:rPr>
          <w:sz w:val="20"/>
          <w:szCs w:val="20"/>
        </w:rPr>
        <w:t xml:space="preserve"> y </w:t>
      </w:r>
      <w:r w:rsidRPr="009B51AA">
        <w:rPr>
          <w:i/>
          <w:iCs/>
          <w:sz w:val="20"/>
          <w:szCs w:val="20"/>
        </w:rPr>
        <w:t>"Mayores con Ingresos Altos y Gastos Medios"</w:t>
      </w:r>
      <w:r w:rsidRPr="009B51AA">
        <w:rPr>
          <w:sz w:val="20"/>
          <w:szCs w:val="20"/>
        </w:rPr>
        <w:t>. Esta decisión se fundamenta en un análisis detallado de su impacto en la rentabilidad empresarial.</w:t>
      </w:r>
    </w:p>
    <w:p w14:paraId="7B7BDF60" w14:textId="48986BAA" w:rsidR="009B51AA" w:rsidRPr="009B51AA" w:rsidRDefault="009B51AA" w:rsidP="009B51AA">
      <w:pPr>
        <w:spacing w:line="240" w:lineRule="auto"/>
        <w:jc w:val="both"/>
        <w:rPr>
          <w:sz w:val="20"/>
          <w:szCs w:val="20"/>
        </w:rPr>
      </w:pPr>
      <w:r w:rsidRPr="009B51AA">
        <w:rPr>
          <w:sz w:val="20"/>
          <w:szCs w:val="20"/>
        </w:rPr>
        <w:t>El primer grupo, Adultos con Ingresos Altos y Gastos Altos, destaca por presentar el mayor coeficiente de rentabilidad, lo que lo convierte en un objetivo prioritario dentro de la estrategia de asignación de recursos.</w:t>
      </w:r>
      <w:r w:rsidR="00413D53">
        <w:rPr>
          <w:sz w:val="20"/>
          <w:szCs w:val="20"/>
        </w:rPr>
        <w:t xml:space="preserve"> </w:t>
      </w:r>
      <w:r w:rsidRPr="009B51AA">
        <w:rPr>
          <w:sz w:val="20"/>
          <w:szCs w:val="20"/>
        </w:rPr>
        <w:t>Por otro lado, el segmento de Mayores con Ingresos Altos y Gastos Medios representa la segunda categoría más relevante en términos de generación de ingresos, lo que refuerza su inclusión en la planificación de marketing.</w:t>
      </w:r>
    </w:p>
    <w:p w14:paraId="5A355345" w14:textId="77777777" w:rsidR="009B51AA" w:rsidRPr="009B51AA" w:rsidRDefault="009B51AA" w:rsidP="009B51AA">
      <w:pPr>
        <w:spacing w:line="240" w:lineRule="auto"/>
        <w:jc w:val="both"/>
        <w:rPr>
          <w:sz w:val="20"/>
          <w:szCs w:val="20"/>
        </w:rPr>
      </w:pPr>
      <w:r w:rsidRPr="009B51AA">
        <w:rPr>
          <w:sz w:val="20"/>
          <w:szCs w:val="20"/>
        </w:rPr>
        <w:t>A pesar de que estos grupos representan una proporción menor dentro del total de clientes, su contribución sustancial a los ingresos justifica la concentración de recursos en ellos. La focalización estratégica hacia estos segmentos no solo incrementa las posibilidades de retorno de la inversión, sino que también optimiza el uso de los recursos al dirigirse a consumidores con un historial probado de rentabilidad para la empresa.</w:t>
      </w:r>
    </w:p>
    <w:p w14:paraId="4F644D46" w14:textId="77777777" w:rsidR="009B51AA" w:rsidRPr="009B51AA" w:rsidRDefault="009B51AA" w:rsidP="009B51AA">
      <w:pPr>
        <w:spacing w:line="240" w:lineRule="auto"/>
        <w:rPr>
          <w:b/>
          <w:bCs/>
          <w:sz w:val="20"/>
          <w:szCs w:val="20"/>
        </w:rPr>
      </w:pPr>
    </w:p>
    <w:p w14:paraId="51122E65" w14:textId="77777777" w:rsidR="006C68BD" w:rsidRPr="00FD77CC" w:rsidRDefault="006C68BD" w:rsidP="009B51AA">
      <w:pPr>
        <w:spacing w:line="240" w:lineRule="auto"/>
        <w:rPr>
          <w:b/>
          <w:bCs/>
        </w:rPr>
      </w:pPr>
    </w:p>
    <w:sectPr w:rsidR="006C68BD" w:rsidRPr="00FD77CC" w:rsidSect="00FD77CC">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FC17EA"/>
    <w:multiLevelType w:val="multilevel"/>
    <w:tmpl w:val="37565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3B345B"/>
    <w:multiLevelType w:val="hybridMultilevel"/>
    <w:tmpl w:val="05CCC1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37147754">
    <w:abstractNumId w:val="0"/>
  </w:num>
  <w:num w:numId="2" w16cid:durableId="680471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CC"/>
    <w:rsid w:val="003E4946"/>
    <w:rsid w:val="00413D53"/>
    <w:rsid w:val="005D2CF5"/>
    <w:rsid w:val="006C68BD"/>
    <w:rsid w:val="008740D5"/>
    <w:rsid w:val="00995AEB"/>
    <w:rsid w:val="009B51AA"/>
    <w:rsid w:val="00C25FD3"/>
    <w:rsid w:val="00FD77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B5336"/>
  <w15:chartTrackingRefBased/>
  <w15:docId w15:val="{E7D73257-0371-4A8D-BEA3-CD9178B7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D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77C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77C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77C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77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77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77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77C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77C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D77C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77C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77C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77C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77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77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77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77CC"/>
    <w:rPr>
      <w:rFonts w:eastAsiaTheme="majorEastAsia" w:cstheme="majorBidi"/>
      <w:color w:val="272727" w:themeColor="text1" w:themeTint="D8"/>
    </w:rPr>
  </w:style>
  <w:style w:type="paragraph" w:styleId="Ttulo">
    <w:name w:val="Title"/>
    <w:basedOn w:val="Normal"/>
    <w:next w:val="Normal"/>
    <w:link w:val="TtuloCar"/>
    <w:uiPriority w:val="10"/>
    <w:qFormat/>
    <w:rsid w:val="00FD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77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77C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77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77CC"/>
    <w:pPr>
      <w:spacing w:before="160"/>
      <w:jc w:val="center"/>
    </w:pPr>
    <w:rPr>
      <w:i/>
      <w:iCs/>
      <w:color w:val="404040" w:themeColor="text1" w:themeTint="BF"/>
    </w:rPr>
  </w:style>
  <w:style w:type="character" w:customStyle="1" w:styleId="CitaCar">
    <w:name w:val="Cita Car"/>
    <w:basedOn w:val="Fuentedeprrafopredeter"/>
    <w:link w:val="Cita"/>
    <w:uiPriority w:val="29"/>
    <w:rsid w:val="00FD77CC"/>
    <w:rPr>
      <w:i/>
      <w:iCs/>
      <w:color w:val="404040" w:themeColor="text1" w:themeTint="BF"/>
    </w:rPr>
  </w:style>
  <w:style w:type="paragraph" w:styleId="Prrafodelista">
    <w:name w:val="List Paragraph"/>
    <w:basedOn w:val="Normal"/>
    <w:uiPriority w:val="34"/>
    <w:qFormat/>
    <w:rsid w:val="00FD77CC"/>
    <w:pPr>
      <w:ind w:left="720"/>
      <w:contextualSpacing/>
    </w:pPr>
  </w:style>
  <w:style w:type="character" w:styleId="nfasisintenso">
    <w:name w:val="Intense Emphasis"/>
    <w:basedOn w:val="Fuentedeprrafopredeter"/>
    <w:uiPriority w:val="21"/>
    <w:qFormat/>
    <w:rsid w:val="00FD77CC"/>
    <w:rPr>
      <w:i/>
      <w:iCs/>
      <w:color w:val="0F4761" w:themeColor="accent1" w:themeShade="BF"/>
    </w:rPr>
  </w:style>
  <w:style w:type="paragraph" w:styleId="Citadestacada">
    <w:name w:val="Intense Quote"/>
    <w:basedOn w:val="Normal"/>
    <w:next w:val="Normal"/>
    <w:link w:val="CitadestacadaCar"/>
    <w:uiPriority w:val="30"/>
    <w:qFormat/>
    <w:rsid w:val="00FD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77CC"/>
    <w:rPr>
      <w:i/>
      <w:iCs/>
      <w:color w:val="0F4761" w:themeColor="accent1" w:themeShade="BF"/>
    </w:rPr>
  </w:style>
  <w:style w:type="character" w:styleId="Referenciaintensa">
    <w:name w:val="Intense Reference"/>
    <w:basedOn w:val="Fuentedeprrafopredeter"/>
    <w:uiPriority w:val="32"/>
    <w:qFormat/>
    <w:rsid w:val="00FD77CC"/>
    <w:rPr>
      <w:b/>
      <w:bCs/>
      <w:smallCaps/>
      <w:color w:val="0F4761" w:themeColor="accent1" w:themeShade="BF"/>
      <w:spacing w:val="5"/>
    </w:rPr>
  </w:style>
  <w:style w:type="table" w:styleId="Tablaconcuadrcula">
    <w:name w:val="Table Grid"/>
    <w:basedOn w:val="Tablanormal"/>
    <w:uiPriority w:val="39"/>
    <w:rsid w:val="005D2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6423">
      <w:bodyDiv w:val="1"/>
      <w:marLeft w:val="0"/>
      <w:marRight w:val="0"/>
      <w:marTop w:val="0"/>
      <w:marBottom w:val="0"/>
      <w:divBdr>
        <w:top w:val="none" w:sz="0" w:space="0" w:color="auto"/>
        <w:left w:val="none" w:sz="0" w:space="0" w:color="auto"/>
        <w:bottom w:val="none" w:sz="0" w:space="0" w:color="auto"/>
        <w:right w:val="none" w:sz="0" w:space="0" w:color="auto"/>
      </w:divBdr>
    </w:div>
    <w:div w:id="282003450">
      <w:bodyDiv w:val="1"/>
      <w:marLeft w:val="0"/>
      <w:marRight w:val="0"/>
      <w:marTop w:val="0"/>
      <w:marBottom w:val="0"/>
      <w:divBdr>
        <w:top w:val="none" w:sz="0" w:space="0" w:color="auto"/>
        <w:left w:val="none" w:sz="0" w:space="0" w:color="auto"/>
        <w:bottom w:val="none" w:sz="0" w:space="0" w:color="auto"/>
        <w:right w:val="none" w:sz="0" w:space="0" w:color="auto"/>
      </w:divBdr>
    </w:div>
    <w:div w:id="399642932">
      <w:bodyDiv w:val="1"/>
      <w:marLeft w:val="0"/>
      <w:marRight w:val="0"/>
      <w:marTop w:val="0"/>
      <w:marBottom w:val="0"/>
      <w:divBdr>
        <w:top w:val="none" w:sz="0" w:space="0" w:color="auto"/>
        <w:left w:val="none" w:sz="0" w:space="0" w:color="auto"/>
        <w:bottom w:val="none" w:sz="0" w:space="0" w:color="auto"/>
        <w:right w:val="none" w:sz="0" w:space="0" w:color="auto"/>
      </w:divBdr>
    </w:div>
    <w:div w:id="971865480">
      <w:bodyDiv w:val="1"/>
      <w:marLeft w:val="0"/>
      <w:marRight w:val="0"/>
      <w:marTop w:val="0"/>
      <w:marBottom w:val="0"/>
      <w:divBdr>
        <w:top w:val="none" w:sz="0" w:space="0" w:color="auto"/>
        <w:left w:val="none" w:sz="0" w:space="0" w:color="auto"/>
        <w:bottom w:val="none" w:sz="0" w:space="0" w:color="auto"/>
        <w:right w:val="none" w:sz="0" w:space="0" w:color="auto"/>
      </w:divBdr>
    </w:div>
    <w:div w:id="998534918">
      <w:bodyDiv w:val="1"/>
      <w:marLeft w:val="0"/>
      <w:marRight w:val="0"/>
      <w:marTop w:val="0"/>
      <w:marBottom w:val="0"/>
      <w:divBdr>
        <w:top w:val="none" w:sz="0" w:space="0" w:color="auto"/>
        <w:left w:val="none" w:sz="0" w:space="0" w:color="auto"/>
        <w:bottom w:val="none" w:sz="0" w:space="0" w:color="auto"/>
        <w:right w:val="none" w:sz="0" w:space="0" w:color="auto"/>
      </w:divBdr>
    </w:div>
    <w:div w:id="1038549735">
      <w:bodyDiv w:val="1"/>
      <w:marLeft w:val="0"/>
      <w:marRight w:val="0"/>
      <w:marTop w:val="0"/>
      <w:marBottom w:val="0"/>
      <w:divBdr>
        <w:top w:val="none" w:sz="0" w:space="0" w:color="auto"/>
        <w:left w:val="none" w:sz="0" w:space="0" w:color="auto"/>
        <w:bottom w:val="none" w:sz="0" w:space="0" w:color="auto"/>
        <w:right w:val="none" w:sz="0" w:space="0" w:color="auto"/>
      </w:divBdr>
    </w:div>
    <w:div w:id="1674337074">
      <w:bodyDiv w:val="1"/>
      <w:marLeft w:val="0"/>
      <w:marRight w:val="0"/>
      <w:marTop w:val="0"/>
      <w:marBottom w:val="0"/>
      <w:divBdr>
        <w:top w:val="none" w:sz="0" w:space="0" w:color="auto"/>
        <w:left w:val="none" w:sz="0" w:space="0" w:color="auto"/>
        <w:bottom w:val="none" w:sz="0" w:space="0" w:color="auto"/>
        <w:right w:val="none" w:sz="0" w:space="0" w:color="auto"/>
      </w:divBdr>
    </w:div>
    <w:div w:id="18965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442</Words>
  <Characters>2434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Duvan Sebastian Olarte</dc:creator>
  <cp:keywords/>
  <dc:description/>
  <cp:lastModifiedBy>Duvan Sebastian Olarte</cp:lastModifiedBy>
  <cp:revision>3</cp:revision>
  <dcterms:created xsi:type="dcterms:W3CDTF">2025-04-29T18:50:00Z</dcterms:created>
  <dcterms:modified xsi:type="dcterms:W3CDTF">2025-04-29T20:27:00Z</dcterms:modified>
</cp:coreProperties>
</file>