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Backlog Priorizado del Producto</w:t>
      </w:r>
    </w:p>
    <w:p>
      <w:pPr>
        <w:spacing w:after="40"/>
        <w:jc w:val="center"/>
      </w:pPr>
      <w:r>
        <w:rPr>
          <w:i/>
          <w:iCs/>
          <w:color w:val="2E5395"/>
          <w:sz w:val="22"/>
          <w:szCs w:val="22"/>
        </w:rPr>
        <w:t xml:space="preserve">Aplicación móvil para la gestión de suministros del hogar mediante códigos QR</w:t>
      </w:r>
    </w:p>
    <w:p>
      <w:pPr>
        <w:spacing w:after="320"/>
        <w:jc w:val="center"/>
      </w:pPr>
      <w:r>
        <w:rPr>
          <w:color w:val="666666"/>
          <w:sz w:val="19"/>
          <w:szCs w:val="19"/>
        </w:rPr>
        <w:t xml:space="preserve">Sebastian Pico Afanador · Facultad de Ingeniería de Sistemas e Informática · Agosto 2026</w:t>
      </w:r>
    </w:p>
    <w:p>
      <w:pPr>
        <w:pStyle w:val="Heading1"/>
        <w:spacing w:after="160" w:before="320"/>
      </w:pPr>
      <w:r>
        <w:t xml:space="preserve">1. Introducción</w:t>
      </w:r>
    </w:p>
    <w:p>
      <w:pPr>
        <w:spacing w:after="160" w:line="276"/>
      </w:pPr>
      <w:r>
        <w:t xml:space="preserve">Este backlog traduce los requerimientos funcionales de la Especificación de Requerimientos en historias de usuario y las ordena en una secuencia de trabajo priorizada. La priorización combina tres criterios: el valor que aporta cada historia al objetivo del proyecto, el riesgo técnico asociado a su implementación y las dependencias entre historias, de modo que el orden resultante sea ejecutable de forma incremental en el tablero Kanban.</w:t>
      </w:r>
    </w:p>
    <w:p>
      <w:pPr>
        <w:pStyle w:val="Heading1"/>
        <w:spacing w:after="160" w:before="320"/>
      </w:pPr>
      <w:r>
        <w:t xml:space="preserve">2. Criterios de priorización</w:t>
      </w:r>
    </w:p>
    <w:p>
      <w:pPr>
        <w:pStyle w:val="ListParagraph"/>
        <w:numPr>
          <w:ilvl w:val="0"/>
          <w:numId w:val="1"/>
        </w:numPr>
        <w:spacing w:after="80"/>
      </w:pPr>
      <w:r>
        <w:t xml:space="preserve">Valor: se deriva de la prioridad MoSCoW de la Especificación de Requerimientos. Must have → Valor Alto; Should have → Valor Medio; Could have → Valor Bajo.</w:t>
      </w:r>
    </w:p>
    <w:p>
      <w:pPr>
        <w:pStyle w:val="ListParagraph"/>
        <w:numPr>
          <w:ilvl w:val="0"/>
          <w:numId w:val="1"/>
        </w:numPr>
        <w:spacing w:after="80"/>
      </w:pPr>
      <w:r>
        <w:t xml:space="preserve">Riesgo: se deriva de la estimación de esfuerzo relativo (S/M/L) y de la complejidad técnica. Esfuerzo L o alta incertidumbre técnica (p. ej. sincronización en tiempo real) → Riesgo Alto; esfuerzo M → Riesgo Medio; esfuerzo S → Riesgo Bajo.</w:t>
      </w:r>
    </w:p>
    <w:p>
      <w:pPr>
        <w:pStyle w:val="ListParagraph"/>
        <w:numPr>
          <w:ilvl w:val="0"/>
          <w:numId w:val="1"/>
        </w:numPr>
        <w:spacing w:after="80"/>
      </w:pPr>
      <w:r>
        <w:t xml:space="preserve">Dependencias técnicas: una historia solo puede ubicarse en el backlog después de las historias de las que depende funcionalmente (por ejemplo, no se puede registrar un producto sin que exista antes un espacio).</w:t>
      </w:r>
    </w:p>
    <w:p>
      <w:pPr>
        <w:spacing w:after="160" w:line="276"/>
      </w:pPr>
      <w:r>
        <w:t xml:space="preserve">Cuando una historia de Valor Alto también tiene Riesgo Alto (por ejemplo RF12 y RF15), se prioriza su desarrollo tan pronto como sus dependencias lo permiten, siguiendo la práctica de abordar temprano el mayor riesgo técnico del proyecto para reducir incertidumbre en etapas tempranas del cronograma.</w:t>
      </w:r>
    </w:p>
    <w:p>
      <w:pPr>
        <w:pStyle w:val="Heading1"/>
        <w:spacing w:after="160" w:before="320"/>
      </w:pPr>
      <w:r>
        <w:t xml:space="preserve">3. Backlog priorizado</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5200"/>
        <w:gridCol w:w="1100"/>
        <w:gridCol w:w="1100"/>
        <w:gridCol w:w="2500"/>
        <w:gridCol w:w="1900"/>
      </w:tblGrid>
      <w:tr>
        <w:trPr>
          <w:tblHeader/>
        </w:trPr>
        <w:tc>
          <w:tcPr>
            <w:tcW w:type="dxa" w:w="5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w:t>
            </w:r>
          </w:p>
        </w:tc>
        <w:tc>
          <w:tcPr>
            <w:tcW w:type="dxa" w:w="7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ID</w:t>
            </w:r>
          </w:p>
        </w:tc>
        <w:tc>
          <w:tcPr>
            <w:tcW w:type="dxa" w:w="52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Historia de usuario</w:t>
            </w:r>
          </w:p>
        </w:tc>
        <w:tc>
          <w:tcPr>
            <w:tcW w:type="dxa" w:w="11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Valor</w:t>
            </w:r>
          </w:p>
        </w:tc>
        <w:tc>
          <w:tcPr>
            <w:tcW w:type="dxa" w:w="11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Riesgo</w:t>
            </w:r>
          </w:p>
        </w:tc>
        <w:tc>
          <w:tcPr>
            <w:tcW w:type="dxa" w:w="25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Dependencias</w:t>
            </w:r>
          </w:p>
        </w:tc>
        <w:tc>
          <w:tcPr>
            <w:tcW w:type="dxa" w:w="19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Fase EDT sugerida</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1</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RF01</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usuario, quiero registrarme e iniciar sesión con correo y contraseña, para acceder de forma segura a mi cuenta y a los datos de mi hogar.</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Ninguna</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3. Usuarios y grupo</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2</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RF02</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usuario, quiero crear un grupo familiar y obtener un código único de acceso, para invitar a los demás integrantes de mi hogar.</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RF01</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3. Usuarios y grupo</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3</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RF03</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usuario, quiero unirme a un grupo familiar existente con un código de acceso, para acceder al inventario compartido de mi hogar.</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Bajo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RF02</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3. Usuarios y grupo</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4</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RF05</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miembro del grupo, quiero crear, editar y eliminar espacios del hogar con nombre y color, para organizar el inventario por zonas físicas.</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RF02</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4. Espacios y QR</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5</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RF06</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miembro del grupo, quiero que cada espacio genere automáticamente un código QR, para poder identificarlo y acceder a él físicamente.</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RF05</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4. Espacios y QR</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6</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RF07</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miembro del grupo, quiero escanear el QR de un espacio, para abrir directamente su inventario sin navegar manualmente.</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RF06</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4. Espacios y QR</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7</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RF08</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miembro del grupo, quiero registrar productos en el inventario de un espacio con nombre, cantidad y cantidad mínima, para llevar control de las existencias.</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RF05</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5. Inventario</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8</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RF11</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miembro del grupo, quiero asignar una prioridad (alta, media, baja) a cada producto, para identificar qué se debe comprar primero.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Bajo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RF08</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5. Inventario</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9</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RF09</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miembro del grupo, quiero editar la cantidad disponible de un producto, para mantener el inventario actualizado tras cada consumo o compra.</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Bajo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RF08</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5. Inventario</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10</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RF12</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miembro del grupo, quiero que un producto se agregue automáticamente a la lista de compras al llegar a su cantidad mínima, para no olvidar reponerlo.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8D7DA" w:val="clear"/>
            <w:tcMar>
              <w:top w:type="dxa" w:w="70"/>
              <w:left w:type="dxa" w:w="90"/>
              <w:bottom w:type="dxa" w:w="70"/>
              <w:right w:type="dxa" w:w="90"/>
            </w:tcMar>
          </w:tcPr>
          <w:p>
            <w:r>
              <w:rPr>
                <w:b w:val="false"/>
                <w:bCs w:val="false"/>
                <w:sz w:val="17"/>
                <w:szCs w:val="17"/>
              </w:rPr>
              <w:t xml:space="preserve">Alto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RF08, RF09, RF11</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6. Lista de compras</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11</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RF15</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miembro del grupo, quiero que los cambios de inventario y lista de compras se sincronicen en tiempo real entre dispositivos, para que todos veamos la misma información actualizada.</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8D7DA" w:val="clear"/>
            <w:tcMar>
              <w:top w:type="dxa" w:w="70"/>
              <w:left w:type="dxa" w:w="90"/>
              <w:bottom w:type="dxa" w:w="70"/>
              <w:right w:type="dxa" w:w="90"/>
            </w:tcMar>
          </w:tcPr>
          <w:p>
            <w:r>
              <w:rPr>
                <w:b w:val="false"/>
                <w:bCs w:val="false"/>
                <w:sz w:val="17"/>
                <w:szCs w:val="17"/>
              </w:rPr>
              <w:t xml:space="preserve">Alto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RF08, RF12</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7. Sincronización</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12</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RF14</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miembro del grupo, quiero marcar un artículo como comprado, para que el inventario se actualice automáticamente.</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RF12, RF15</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6. Lista de compras</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13</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RF16</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miembro del grupo, quiero recibir una notificación push cuando un producto se agote o llegue al mínimo, para reponerlo a tiempo.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Alto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RF12, RF15</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7. Sincronización</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14</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RF13</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miembro del grupo, quiero agregar artículos manualmente a la lista de compras, para incluir productos que aún no están en el inventario.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Bajo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RF02</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6. Lista de compras</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15</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RF10</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miembro del grupo, quiero eliminar un producto del inventario, para quitar artículos que ya no se usan en el hogar.</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Bajo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RF08</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5. Inventario</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16</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RF04</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miembro del grupo, quiero poder salir de un grupo familiar, para dejar de compartir información cuando ya no forme parte del hogar.</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Bajo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RF02</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3. Usuarios y grupo</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17</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RF17</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miembro del grupo, quiero consultar una vista consolidada del inventario de todos los espacios, para tener una visión general del hogar.</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RF08</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8. Funciones complementarias</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18</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RF19</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miembro del grupo, quiero exportar o imprimir los códigos QR de los espacios, para etiquetarlos físicamente en el hogar.</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Bajo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RF06</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8. Funciones complementarias</w:t>
            </w:r>
          </w:p>
        </w:tc>
      </w:tr>
      <w:tr>
        <w:tc>
          <w:tcPr>
            <w:tcW w:type="dxa" w:w="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19</w:t>
            </w:r>
          </w:p>
        </w:tc>
        <w:tc>
          <w:tcPr>
            <w:tcW w:type="dxa" w:w="7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RF20</w:t>
            </w:r>
          </w:p>
        </w:tc>
        <w:tc>
          <w:tcPr>
            <w:tcW w:type="dxa" w:w="5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miembro del grupo, quiero consultar un historial básico de cambios del inventario, para saber quién agregó o consumió un producto y cuándo.</w:t>
            </w:r>
          </w:p>
        </w:tc>
        <w:tc>
          <w:tcPr>
            <w:tcW w:type="dxa" w:w="11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Bajo</w:t>
            </w:r>
          </w:p>
        </w:tc>
        <w:tc>
          <w:tcPr>
            <w:tcW w:type="dxa" w:w="1100"/>
            <w:tcBorders>
              <w:top w:val="single" w:color="AAAAAA" w:sz="4"/>
              <w:left w:val="single" w:color="AAAAAA" w:sz="4"/>
              <w:bottom w:val="single" w:color="AAAAAA" w:sz="4"/>
              <w:right w:val="single" w:color="AAAAAA" w:sz="4"/>
            </w:tcBorders>
            <w:shd w:fill="FFF3CD" w:val="clear"/>
            <w:tcMar>
              <w:top w:type="dxa" w:w="70"/>
              <w:left w:type="dxa" w:w="90"/>
              <w:bottom w:type="dxa" w:w="70"/>
              <w:right w:type="dxa" w:w="90"/>
            </w:tcMar>
          </w:tcPr>
          <w:p>
            <w:r>
              <w:rPr>
                <w:b w:val="false"/>
                <w:bCs w:val="false"/>
                <w:sz w:val="17"/>
                <w:szCs w:val="17"/>
              </w:rPr>
              <w:t xml:space="preserve">Medio</w:t>
            </w:r>
          </w:p>
        </w:tc>
        <w:tc>
          <w:tcPr>
            <w:tcW w:type="dxa" w:w="2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RF08</w:t>
            </w:r>
          </w:p>
        </w:tc>
        <w:tc>
          <w:tcPr>
            <w:tcW w:type="dxa" w:w="19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8. Funciones complementarias</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20</w:t>
            </w:r>
          </w:p>
        </w:tc>
        <w:tc>
          <w:tcPr>
            <w:tcW w:type="dxa" w:w="7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bCs/>
                <w:sz w:val="17"/>
                <w:szCs w:val="17"/>
              </w:rPr>
              <w:t xml:space="preserve">RF18</w:t>
            </w:r>
          </w:p>
        </w:tc>
        <w:tc>
          <w:tcPr>
            <w:tcW w:type="dxa" w:w="52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Como miembro del grupo, quiero filtrar o buscar productos por espacio, categoría o prioridad, para encontrar información específica rápidamente.</w:t>
            </w:r>
          </w:p>
        </w:tc>
        <w:tc>
          <w:tcPr>
            <w:tcW w:type="dxa" w:w="11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Bajo</w:t>
            </w:r>
          </w:p>
        </w:tc>
        <w:tc>
          <w:tcPr>
            <w:tcW w:type="dxa" w:w="1100"/>
            <w:tcBorders>
              <w:top w:val="single" w:color="AAAAAA" w:sz="4"/>
              <w:left w:val="single" w:color="AAAAAA" w:sz="4"/>
              <w:bottom w:val="single" w:color="AAAAAA" w:sz="4"/>
              <w:right w:val="single" w:color="AAAAAA" w:sz="4"/>
            </w:tcBorders>
            <w:shd w:fill="D4EDDA" w:val="clear"/>
            <w:tcMar>
              <w:top w:type="dxa" w:w="70"/>
              <w:left w:type="dxa" w:w="90"/>
              <w:bottom w:type="dxa" w:w="70"/>
              <w:right w:type="dxa" w:w="90"/>
            </w:tcMar>
          </w:tcPr>
          <w:p>
            <w:r>
              <w:rPr>
                <w:b w:val="false"/>
                <w:bCs w:val="false"/>
                <w:sz w:val="17"/>
                <w:szCs w:val="17"/>
              </w:rPr>
              <w:t xml:space="preserve">Bajo</w:t>
            </w:r>
          </w:p>
        </w:tc>
        <w:tc>
          <w:tcPr>
            <w:tcW w:type="dxa" w:w="25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RF17</w:t>
            </w:r>
          </w:p>
        </w:tc>
        <w:tc>
          <w:tcPr>
            <w:tcW w:type="dxa" w:w="1900"/>
            <w:tcBorders>
              <w:top w:val="single" w:color="AAAAAA" w:sz="4"/>
              <w:left w:val="single" w:color="AAAAAA" w:sz="4"/>
              <w:bottom w:val="single" w:color="AAAAAA" w:sz="4"/>
              <w:right w:val="single" w:color="AAAAAA" w:sz="4"/>
            </w:tcBorders>
            <w:shd w:fill="F2F5FB" w:val="clear"/>
            <w:tcMar>
              <w:top w:type="dxa" w:w="70"/>
              <w:left w:type="dxa" w:w="90"/>
              <w:bottom w:type="dxa" w:w="70"/>
              <w:right w:type="dxa" w:w="90"/>
            </w:tcMar>
          </w:tcPr>
          <w:p>
            <w:r>
              <w:rPr>
                <w:b w:val="false"/>
                <w:bCs w:val="false"/>
                <w:sz w:val="17"/>
                <w:szCs w:val="17"/>
              </w:rPr>
              <w:t xml:space="preserve">8. Funciones complementarias</w:t>
            </w:r>
          </w:p>
        </w:tc>
      </w:tr>
    </w:tbl>
    <w:p>
      <w:pPr>
        <w:pStyle w:val="Heading1"/>
        <w:spacing w:after="160" w:before="320"/>
      </w:pPr>
      <w:r>
        <w:t xml:space="preserve">4. Backlog congelado / fuera de alcance</w:t>
      </w:r>
    </w:p>
    <w:p>
      <w:pPr>
        <w:spacing w:after="160" w:line="276"/>
      </w:pPr>
      <w:r>
        <w:t xml:space="preserve">El siguiente requerimiento fue clasificado como Won't have this time en la Especificación de Requerimientos y no forma parte del backlog activo del proyecto. Se documenta para trazabilidad y posible desarrollo futuro.</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5500"/>
      </w:tblGrid>
      <w:tr>
        <w:trPr>
          <w:tblHeader/>
        </w:trPr>
        <w:tc>
          <w:tcPr>
            <w:tcW w:type="dxa" w:w="12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ID</w:t>
            </w:r>
          </w:p>
        </w:tc>
        <w:tc>
          <w:tcPr>
            <w:tcW w:type="dxa" w:w="63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Historia de usuario</w:t>
            </w:r>
          </w:p>
        </w:tc>
        <w:tc>
          <w:tcPr>
            <w:tcW w:type="dxa" w:w="5500"/>
            <w:tcBorders>
              <w:top w:val="single" w:color="AAAAAA" w:sz="4"/>
              <w:left w:val="single" w:color="AAAAAA" w:sz="4"/>
              <w:bottom w:val="single" w:color="AAAAAA" w:sz="4"/>
              <w:right w:val="single" w:color="AAAAAA" w:sz="4"/>
            </w:tcBorders>
            <w:shd w:fill="D9E2F3" w:val="clear"/>
            <w:tcMar>
              <w:top w:type="dxa" w:w="70"/>
              <w:left w:type="dxa" w:w="90"/>
              <w:bottom w:type="dxa" w:w="70"/>
              <w:right w:type="dxa" w:w="90"/>
            </w:tcMar>
          </w:tcPr>
          <w:p>
            <w:r>
              <w:rPr>
                <w:b/>
                <w:bCs/>
                <w:color w:val="1F3864"/>
                <w:sz w:val="17"/>
                <w:szCs w:val="17"/>
              </w:rPr>
              <w:t xml:space="preserve">Justificación</w:t>
            </w:r>
          </w:p>
        </w:tc>
      </w:tr>
      <w:tr>
        <w:tc>
          <w:tcPr>
            <w:tcW w:type="dxa" w:w="12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bCs/>
                <w:sz w:val="17"/>
                <w:szCs w:val="17"/>
              </w:rPr>
              <w:t xml:space="preserve">RF21</w:t>
            </w:r>
          </w:p>
        </w:tc>
        <w:tc>
          <w:tcPr>
            <w:tcW w:type="dxa" w:w="63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Como usuario, quisiera registrar productos mediante escaneo y reconocimiento automático del recibo de compra, para no tener que digitarlos manualmente.</w:t>
            </w:r>
          </w:p>
        </w:tc>
        <w:tc>
          <w:tcPr>
            <w:tcW w:type="dxa" w:w="5500"/>
            <w:tcBorders>
              <w:top w:val="single" w:color="AAAAAA" w:sz="4"/>
              <w:left w:val="single" w:color="AAAAAA" w:sz="4"/>
              <w:bottom w:val="single" w:color="AAAAAA" w:sz="4"/>
              <w:right w:val="single" w:color="AAAAAA" w:sz="4"/>
            </w:tcBorders>
            <w:tcMar>
              <w:top w:type="dxa" w:w="70"/>
              <w:left w:type="dxa" w:w="90"/>
              <w:bottom w:type="dxa" w:w="70"/>
              <w:right w:type="dxa" w:w="90"/>
            </w:tcMar>
          </w:tcPr>
          <w:p>
            <w:r>
              <w:rPr>
                <w:b w:val="false"/>
                <w:bCs w:val="false"/>
                <w:sz w:val="17"/>
                <w:szCs w:val="17"/>
              </w:rPr>
              <w:t xml:space="preserve">No se implementará en esta versión (Won't have). Se documenta como alcance a futuro; en esta versión el registro se realiza de forma manual mediante escaneo del QR del espacio.</w:t>
            </w:r>
          </w:p>
        </w:tc>
      </w:tr>
    </w:tbl>
    <w:p>
      <w:pPr>
        <w:pStyle w:val="Heading1"/>
        <w:spacing w:after="160" w:before="320"/>
      </w:pPr>
      <w:r>
        <w:t xml:space="preserve">5. Notas de uso</w:t>
      </w:r>
    </w:p>
    <w:p>
      <w:pPr>
        <w:pStyle w:val="ListParagraph"/>
        <w:numPr>
          <w:ilvl w:val="0"/>
          <w:numId w:val="1"/>
        </w:numPr>
        <w:spacing w:after="80"/>
      </w:pPr>
      <w:r>
        <w:t xml:space="preserve">El número de orden (#) de la tabla de la sección 3 refleja la secuencia sugerida de incorporación al tablero Kanban (columna Pendiente), respetando las dependencias señaladas.</w:t>
      </w:r>
    </w:p>
    <w:p>
      <w:pPr>
        <w:pStyle w:val="ListParagraph"/>
        <w:numPr>
          <w:ilvl w:val="0"/>
          <w:numId w:val="1"/>
        </w:numPr>
        <w:spacing w:after="80"/>
      </w:pPr>
      <w:r>
        <w:t xml:space="preserve">Las historias RF12 y RF15 (Riesgo Alto) deben planificarse con margen adicional de tiempo, tal como se establece en el Plan de Gestión de Riesgos del Plan Integrado de Gestión del Proyecto.</w:t>
      </w:r>
    </w:p>
    <w:p>
      <w:pPr>
        <w:pStyle w:val="ListParagraph"/>
        <w:numPr>
          <w:ilvl w:val="0"/>
          <w:numId w:val="1"/>
        </w:numPr>
        <w:spacing w:after="80"/>
      </w:pPr>
      <w:r>
        <w:t xml:space="preserve">Este backlog debe revisarse y reordenarse si cambian las prioridades del cliente o si se identifican nuevas dependencias durante el desarrollo.</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Aplicación móvil para la gestión de suministros del hogar mediante códigos QR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pPr>
      <w:spacing w:after="120" w:before="240"/>
    </w:pPr>
    <w:rPr>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2026-08-02T15:44:27.066Z</dcterms:created>
  <dcterms:modified xsi:type="dcterms:W3CDTF">2026-08-02T15:44:27.066Z</dcterms:modified>
</cp:coreProperties>
</file>

<file path=docProps/custom.xml><?xml version="1.0" encoding="utf-8"?>
<Properties xmlns="http://schemas.openxmlformats.org/officeDocument/2006/custom-properties" xmlns:vt="http://schemas.openxmlformats.org/officeDocument/2006/docPropsVTypes"/>
</file>