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Plan Integrado de Gestión del Proyecto</w:t>
      </w:r>
    </w:p>
    <w:p>
      <w:pPr>
        <w:spacing w:after="40"/>
        <w:jc w:val="center"/>
      </w:pPr>
      <w:r>
        <w:rPr>
          <w:i/>
          <w:iCs/>
          <w:color w:val="2E5395"/>
          <w:sz w:val="22"/>
          <w:szCs w:val="22"/>
        </w:rPr>
        <w:t xml:space="preserve">Aplicación móvil para la gestión de suministros del hogar mediante códigos QR</w:t>
      </w:r>
    </w:p>
    <w:p>
      <w:pPr>
        <w:spacing w:after="320"/>
        <w:jc w:val="center"/>
      </w:pPr>
      <w:r>
        <w:rPr>
          <w:color w:val="666666"/>
          <w:sz w:val="19"/>
          <w:szCs w:val="19"/>
        </w:rPr>
        <w:t xml:space="preserve">Sebastian Pico Afanador · Facultad de Ingeniería de Sistemas e Informática · Agosto 2026</w:t>
      </w:r>
    </w:p>
    <w:p>
      <w:pPr>
        <w:pStyle w:val="Heading1"/>
        <w:spacing w:after="160" w:before="320"/>
      </w:pPr>
      <w:r>
        <w:t xml:space="preserve">1. Introducción y propósito</w:t>
      </w:r>
    </w:p>
    <w:p>
      <w:pPr>
        <w:spacing w:after="160" w:line="276"/>
      </w:pPr>
      <w:r>
        <w:t xml:space="preserve">Este Plan Integrado de Gestión del Proyecto consolida en un solo documento la hoja de ruta para ejecutar el proyecto: el cronograma de hitos, la estimación de costos, el plan de recursos y el plan de gestión de riesgos. Se construye a partir del Acta de Constitución, la Especificación de Requerimientos y la Estructura de Descomposición del Trabajo (EDT), garantizando trazabilidad entre lo planeado y lo definido en esos documentos.</w:t>
      </w:r>
    </w:p>
    <w:p>
      <w:pPr>
        <w:pStyle w:val="Heading1"/>
        <w:spacing w:after="160" w:before="320"/>
      </w:pPr>
      <w:r>
        <w:t xml:space="preserve">2. Cronograma de hitos</w:t>
      </w:r>
    </w:p>
    <w:p>
      <w:pPr>
        <w:spacing w:after="160" w:line="276"/>
      </w:pPr>
      <w:r>
        <w:t xml:space="preserve">El proyecto se ejecuta en 16 semanas bajo metodología Kanban. La siguiente tabla vincula las fases de la EDT con las semanas del cronograma y los hitos formales del Acta de Constitución.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3000"/>
      </w:tblGrid>
      <w:tr>
        <w:trPr>
          <w:tblHeader/>
        </w:trPr>
        <w:tc>
          <w:tcPr>
            <w:tcW w:type="dxa" w:w="54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Fase de la EDT</w:t>
            </w:r>
          </w:p>
        </w:tc>
        <w:tc>
          <w:tcPr>
            <w:tcW w:type="dxa" w:w="22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Semana(s)</w:t>
            </w:r>
          </w:p>
        </w:tc>
        <w:tc>
          <w:tcPr>
            <w:tcW w:type="dxa" w:w="30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Hito asociado</w:t>
            </w:r>
          </w:p>
        </w:tc>
      </w:tr>
      <w:tr>
        <w:tc>
          <w:tcPr>
            <w:tcW w:type="dxa" w:w="5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 Gestión del Proyecto</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1-16 (continuo)</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Hitos 1, 2 y 8</w:t>
            </w:r>
          </w:p>
        </w:tc>
      </w:tr>
      <w:tr>
        <w:tc>
          <w:tcPr>
            <w:tcW w:type="dxa" w:w="5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2. Análisis y Diseño</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4-7</w:t>
            </w:r>
          </w:p>
        </w:tc>
        <w:tc>
          <w:tcPr>
            <w:tcW w:type="dxa" w:w="3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Hito 3</w:t>
            </w:r>
          </w:p>
        </w:tc>
      </w:tr>
      <w:tr>
        <w:tc>
          <w:tcPr>
            <w:tcW w:type="dxa" w:w="5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3-6. Desarrollo de módulos principales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8-11</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Hito 4</w:t>
            </w:r>
          </w:p>
        </w:tc>
      </w:tr>
      <w:tr>
        <w:tc>
          <w:tcPr>
            <w:tcW w:type="dxa" w:w="5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7-8. Sincronización, notificaciones y funciones complementarias</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12-13</w:t>
            </w:r>
          </w:p>
        </w:tc>
        <w:tc>
          <w:tcPr>
            <w:tcW w:type="dxa" w:w="3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Hito 5</w:t>
            </w:r>
          </w:p>
        </w:tc>
      </w:tr>
      <w:tr>
        <w:tc>
          <w:tcPr>
            <w:tcW w:type="dxa" w:w="54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9. Pruebas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14</w:t>
            </w:r>
          </w:p>
        </w:tc>
        <w:tc>
          <w:tcPr>
            <w:tcW w:type="dxa" w:w="3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Hito 6</w:t>
            </w:r>
          </w:p>
        </w:tc>
      </w:tr>
      <w:tr>
        <w:tc>
          <w:tcPr>
            <w:tcW w:type="dxa" w:w="54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10. Documentación y cierre</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15-16</w:t>
            </w:r>
          </w:p>
        </w:tc>
        <w:tc>
          <w:tcPr>
            <w:tcW w:type="dxa" w:w="3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Hitos 7 y 8</w:t>
            </w:r>
          </w:p>
        </w:tc>
      </w:tr>
    </w:tbl>
    <w:p>
      <w:pPr>
        <w:spacing w:after="160" w:line="276"/>
      </w:pPr>
      <w:r>
        <w:t xml:space="preserve"/>
      </w:r>
    </w:p>
    <w:p>
      <w:pPr>
        <w:pStyle w:val="ListParagraph"/>
        <w:numPr>
          <w:ilvl w:val="0"/>
          <w:numId w:val="1"/>
        </w:numPr>
        <w:spacing w:after="80"/>
      </w:pPr>
      <w:r>
        <w:t xml:space="preserve">Hito 1 — Inicio del proyecto: definición del proyecto integrador (semana 1).</w:t>
      </w:r>
    </w:p>
    <w:p>
      <w:pPr>
        <w:pStyle w:val="ListParagraph"/>
        <w:numPr>
          <w:ilvl w:val="0"/>
          <w:numId w:val="1"/>
        </w:numPr>
        <w:spacing w:after="80"/>
      </w:pPr>
      <w:r>
        <w:t xml:space="preserve">Hito 2 — Planificación del proyecto: declaración del alcance (semanas 2-3).</w:t>
      </w:r>
    </w:p>
    <w:p>
      <w:pPr>
        <w:pStyle w:val="ListParagraph"/>
        <w:numPr>
          <w:ilvl w:val="0"/>
          <w:numId w:val="1"/>
        </w:numPr>
        <w:spacing w:after="80"/>
      </w:pPr>
      <w:r>
        <w:t xml:space="preserve">Hito 3 — Diseño de la solución (semanas 4-7).</w:t>
      </w:r>
    </w:p>
    <w:p>
      <w:pPr>
        <w:pStyle w:val="ListParagraph"/>
        <w:numPr>
          <w:ilvl w:val="0"/>
          <w:numId w:val="1"/>
        </w:numPr>
        <w:spacing w:after="80"/>
      </w:pPr>
      <w:r>
        <w:t xml:space="preserve">Hito 4 — Primer avance del producto: integración de los primeros módulos (semana 8).</w:t>
      </w:r>
    </w:p>
    <w:p>
      <w:pPr>
        <w:pStyle w:val="ListParagraph"/>
        <w:numPr>
          <w:ilvl w:val="0"/>
          <w:numId w:val="1"/>
        </w:numPr>
        <w:spacing w:after="80"/>
      </w:pPr>
      <w:r>
        <w:t xml:space="preserve">Hito 5 — Desarrollo e integración de nuevas funcionalidades (semanas 9-13).</w:t>
      </w:r>
    </w:p>
    <w:p>
      <w:pPr>
        <w:pStyle w:val="ListParagraph"/>
        <w:numPr>
          <w:ilvl w:val="0"/>
          <w:numId w:val="1"/>
        </w:numPr>
        <w:spacing w:after="80"/>
      </w:pPr>
      <w:r>
        <w:t xml:space="preserve">Hito 6 — Validación del producto: pruebas finales (semana 14).</w:t>
      </w:r>
    </w:p>
    <w:p>
      <w:pPr>
        <w:pStyle w:val="ListParagraph"/>
        <w:numPr>
          <w:ilvl w:val="0"/>
          <w:numId w:val="1"/>
        </w:numPr>
        <w:spacing w:after="80"/>
      </w:pPr>
      <w:r>
        <w:t xml:space="preserve">Hito 7 — Pre-sustentación (semana 15).</w:t>
      </w:r>
    </w:p>
    <w:p>
      <w:pPr>
        <w:pStyle w:val="ListParagraph"/>
        <w:numPr>
          <w:ilvl w:val="0"/>
          <w:numId w:val="1"/>
        </w:numPr>
        <w:spacing w:after="80"/>
      </w:pPr>
      <w:r>
        <w:t xml:space="preserve">Hito 8 — Sustentación y cierre académico (semana 16).</w:t>
      </w:r>
    </w:p>
    <w:p>
      <w:pPr>
        <w:pStyle w:val="Heading1"/>
        <w:spacing w:after="160" w:before="320"/>
      </w:pPr>
      <w:r>
        <w:t xml:space="preserve">3. Estimación de costos</w:t>
      </w:r>
    </w:p>
    <w:p>
      <w:pPr>
        <w:pStyle w:val="Heading2"/>
        <w:spacing w:after="120" w:before="240"/>
      </w:pPr>
      <w:r>
        <w:t xml:space="preserve">3.1 Presupuesto general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2000"/>
        <w:gridCol w:w="2200"/>
      </w:tblGrid>
      <w:tr>
        <w:trPr>
          <w:tblHeader/>
        </w:trPr>
        <w:tc>
          <w:tcPr>
            <w:tcW w:type="dxa" w:w="42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Concepto</w:t>
            </w:r>
          </w:p>
        </w:tc>
        <w:tc>
          <w:tcPr>
            <w:tcW w:type="dxa" w:w="18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Cantidad</w:t>
            </w:r>
          </w:p>
        </w:tc>
        <w:tc>
          <w:tcPr>
            <w:tcW w:type="dxa" w:w="20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Costo unitario (COP)</w:t>
            </w:r>
          </w:p>
        </w:tc>
        <w:tc>
          <w:tcPr>
            <w:tcW w:type="dxa" w:w="22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Subtotal (COP)</w:t>
            </w:r>
          </w:p>
        </w:tc>
      </w:tr>
      <w:tr>
        <w:tc>
          <w:tcPr>
            <w:tcW w:type="dxa" w:w="4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Desarrollador (640 horas)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640 horas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$35.000</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$22.400.000</w:t>
            </w:r>
          </w:p>
        </w:tc>
      </w:tr>
      <w:tr>
        <w:tc>
          <w:tcPr>
            <w:tcW w:type="dxa" w:w="4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Equipo de cómputo (4 meses)</w:t>
            </w:r>
          </w:p>
        </w:tc>
        <w:tc>
          <w:tcPr>
            <w:tcW w:type="dxa" w:w="1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4 meses</w:t>
            </w:r>
          </w:p>
        </w:tc>
        <w:tc>
          <w:tcPr>
            <w:tcW w:type="dxa" w:w="2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$200.000</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$800.000</w:t>
            </w:r>
          </w:p>
        </w:tc>
      </w:tr>
      <w:tr>
        <w:tc>
          <w:tcPr>
            <w:tcW w:type="dxa" w:w="4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Energía eléctrica (4 meses)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4 meses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$120.000</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$480.000</w:t>
            </w:r>
          </w:p>
        </w:tc>
      </w:tr>
      <w:tr>
        <w:tc>
          <w:tcPr>
            <w:tcW w:type="dxa" w:w="4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Servicio de internet (4 meses)</w:t>
            </w:r>
          </w:p>
        </w:tc>
        <w:tc>
          <w:tcPr>
            <w:tcW w:type="dxa" w:w="1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4 meses</w:t>
            </w:r>
          </w:p>
        </w:tc>
        <w:tc>
          <w:tcPr>
            <w:tcW w:type="dxa" w:w="2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$120.000</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$480.000</w:t>
            </w:r>
          </w:p>
        </w:tc>
      </w:tr>
      <w:tr>
        <w:tc>
          <w:tcPr>
            <w:tcW w:type="dxa" w:w="4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Agua y servicios generales (4 meses)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4 meses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$50.000</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$200.000</w:t>
            </w:r>
          </w:p>
        </w:tc>
      </w:tr>
      <w:tr>
        <w:tc>
          <w:tcPr>
            <w:tcW w:type="dxa" w:w="4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Espacio de trabajo (4 meses)</w:t>
            </w:r>
          </w:p>
        </w:tc>
        <w:tc>
          <w:tcPr>
            <w:tcW w:type="dxa" w:w="1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4 meses</w:t>
            </w:r>
          </w:p>
        </w:tc>
        <w:tc>
          <w:tcPr>
            <w:tcW w:type="dxa" w:w="2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$300.000</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$1.200.000</w:t>
            </w:r>
          </w:p>
        </w:tc>
      </w:tr>
      <w:tr>
        <w:tc>
          <w:tcPr>
            <w:tcW w:type="dxa" w:w="4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Dispositivo móvil para pruebas (4 meses)</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4 meses</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$100.000</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$400.000</w:t>
            </w:r>
          </w:p>
        </w:tc>
      </w:tr>
      <w:tr>
        <w:tc>
          <w:tcPr>
            <w:tcW w:type="dxa" w:w="4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Licencias y herramientas (Android Studio, GitHub, Firebase)</w:t>
            </w:r>
          </w:p>
        </w:tc>
        <w:tc>
          <w:tcPr>
            <w:tcW w:type="dxa" w:w="1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w:t>
            </w:r>
          </w:p>
        </w:tc>
        <w:tc>
          <w:tcPr>
            <w:tcW w:type="dxa" w:w="2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$0</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$0</w:t>
            </w:r>
          </w:p>
        </w:tc>
      </w:tr>
      <w:tr>
        <w:tc>
          <w:tcPr>
            <w:tcW w:type="dxa" w:w="4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Material de oficina y etiquetas QR</w:t>
            </w:r>
          </w:p>
        </w:tc>
        <w:tc>
          <w:tcPr>
            <w:tcW w:type="dxa" w:w="1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w:t>
            </w:r>
          </w:p>
        </w:tc>
        <w:tc>
          <w:tcPr>
            <w:tcW w:type="dxa" w:w="20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$100.000</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$100.000</w:t>
            </w:r>
          </w:p>
        </w:tc>
      </w:tr>
      <w:tr>
        <w:tc>
          <w:tcPr>
            <w:tcW w:type="dxa" w:w="4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Contingencias (5%)</w:t>
            </w:r>
          </w:p>
        </w:tc>
        <w:tc>
          <w:tcPr>
            <w:tcW w:type="dxa" w:w="1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w:t>
            </w:r>
          </w:p>
        </w:tc>
        <w:tc>
          <w:tcPr>
            <w:tcW w:type="dxa" w:w="20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w:t>
            </w:r>
          </w:p>
        </w:tc>
        <w:tc>
          <w:tcPr>
            <w:tcW w:type="dxa" w:w="22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$1.303.000</w:t>
            </w:r>
          </w:p>
        </w:tc>
      </w:tr>
    </w:tbl>
    <w:p>
      <w:pPr>
        <w:spacing w:after="200" w:before="120"/>
      </w:pPr>
      <w:r>
        <w:rPr>
          <w:b/>
          <w:bCs/>
          <w:color w:val="1F3864"/>
          <w:sz w:val="21"/>
          <w:szCs w:val="21"/>
        </w:rPr>
        <w:t xml:space="preserve">Total estimado: $27.363.000 COP</w:t>
      </w:r>
    </w:p>
    <w:p>
      <w:pPr>
        <w:pStyle w:val="Heading2"/>
        <w:spacing w:after="120" w:before="240"/>
      </w:pPr>
      <w:r>
        <w:t xml:space="preserve">3.2 Distribución de costos por fase de la EDT</w:t>
      </w:r>
    </w:p>
    <w:p>
      <w:pPr>
        <w:spacing w:after="160" w:line="276"/>
      </w:pPr>
      <w:r>
        <w:t xml:space="preserve">Las 640 horas de desarrollo estimadas en el presupuesto general se distribuyen entre las fases de la EDT de la siguiente forma, lo que permite dar seguimiento al avance financiero del proyecto por paquete de trabajo.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800"/>
        <w:gridCol w:w="2100"/>
        <w:gridCol w:w="2700"/>
      </w:tblGrid>
      <w:tr>
        <w:trPr>
          <w:tblHeader/>
        </w:trPr>
        <w:tc>
          <w:tcPr>
            <w:tcW w:type="dxa" w:w="58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Fase de la EDT</w:t>
            </w:r>
          </w:p>
        </w:tc>
        <w:tc>
          <w:tcPr>
            <w:tcW w:type="dxa" w:w="21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Horas estimadas</w:t>
            </w:r>
          </w:p>
        </w:tc>
        <w:tc>
          <w:tcPr>
            <w:tcW w:type="dxa" w:w="27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Costo estimado (COP)</w:t>
            </w:r>
          </w:p>
        </w:tc>
      </w:tr>
      <w:tr>
        <w:tc>
          <w:tcPr>
            <w:tcW w:type="dxa" w:w="5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 Gestión del Proyecto</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60</w:t>
            </w:r>
          </w:p>
        </w:tc>
        <w:tc>
          <w:tcPr>
            <w:tcW w:type="dxa" w:w="2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$2.100.000</w:t>
            </w:r>
          </w:p>
        </w:tc>
      </w:tr>
      <w:tr>
        <w:tc>
          <w:tcPr>
            <w:tcW w:type="dxa" w:w="5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2. Análisis y Diseño</w:t>
            </w:r>
          </w:p>
        </w:tc>
        <w:tc>
          <w:tcPr>
            <w:tcW w:type="dxa" w:w="21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80</w:t>
            </w:r>
          </w:p>
        </w:tc>
        <w:tc>
          <w:tcPr>
            <w:tcW w:type="dxa" w:w="2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$2.800.000</w:t>
            </w:r>
          </w:p>
        </w:tc>
      </w:tr>
      <w:tr>
        <w:tc>
          <w:tcPr>
            <w:tcW w:type="dxa" w:w="5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3. Módulo de Usuarios y Grupo Familiar</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60</w:t>
            </w:r>
          </w:p>
        </w:tc>
        <w:tc>
          <w:tcPr>
            <w:tcW w:type="dxa" w:w="2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$2.100.000</w:t>
            </w:r>
          </w:p>
        </w:tc>
      </w:tr>
      <w:tr>
        <w:tc>
          <w:tcPr>
            <w:tcW w:type="dxa" w:w="5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4. Módulo de Espacios y QR</w:t>
            </w:r>
          </w:p>
        </w:tc>
        <w:tc>
          <w:tcPr>
            <w:tcW w:type="dxa" w:w="21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70</w:t>
            </w:r>
          </w:p>
        </w:tc>
        <w:tc>
          <w:tcPr>
            <w:tcW w:type="dxa" w:w="2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$2.450.000</w:t>
            </w:r>
          </w:p>
        </w:tc>
      </w:tr>
      <w:tr>
        <w:tc>
          <w:tcPr>
            <w:tcW w:type="dxa" w:w="5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5. Módulo de Inventario</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70</w:t>
            </w:r>
          </w:p>
        </w:tc>
        <w:tc>
          <w:tcPr>
            <w:tcW w:type="dxa" w:w="2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$2.450.000</w:t>
            </w:r>
          </w:p>
        </w:tc>
      </w:tr>
      <w:tr>
        <w:tc>
          <w:tcPr>
            <w:tcW w:type="dxa" w:w="5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6. Módulo de Lista de Compras</w:t>
            </w:r>
          </w:p>
        </w:tc>
        <w:tc>
          <w:tcPr>
            <w:tcW w:type="dxa" w:w="21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60</w:t>
            </w:r>
          </w:p>
        </w:tc>
        <w:tc>
          <w:tcPr>
            <w:tcW w:type="dxa" w:w="2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$2.100.000</w:t>
            </w:r>
          </w:p>
        </w:tc>
      </w:tr>
      <w:tr>
        <w:tc>
          <w:tcPr>
            <w:tcW w:type="dxa" w:w="5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7. Sincronización y Notificaciones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100</w:t>
            </w:r>
          </w:p>
        </w:tc>
        <w:tc>
          <w:tcPr>
            <w:tcW w:type="dxa" w:w="2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$3.500.000</w:t>
            </w:r>
          </w:p>
        </w:tc>
      </w:tr>
      <w:tr>
        <w:tc>
          <w:tcPr>
            <w:tcW w:type="dxa" w:w="5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8. Funcionalidades Complementarias</w:t>
            </w:r>
          </w:p>
        </w:tc>
        <w:tc>
          <w:tcPr>
            <w:tcW w:type="dxa" w:w="21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50</w:t>
            </w:r>
          </w:p>
        </w:tc>
        <w:tc>
          <w:tcPr>
            <w:tcW w:type="dxa" w:w="2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$1.750.000</w:t>
            </w:r>
          </w:p>
        </w:tc>
      </w:tr>
      <w:tr>
        <w:tc>
          <w:tcPr>
            <w:tcW w:type="dxa" w:w="5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9. Pruebas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60</w:t>
            </w:r>
          </w:p>
        </w:tc>
        <w:tc>
          <w:tcPr>
            <w:tcW w:type="dxa" w:w="2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$2.100.000</w:t>
            </w:r>
          </w:p>
        </w:tc>
      </w:tr>
      <w:tr>
        <w:tc>
          <w:tcPr>
            <w:tcW w:type="dxa" w:w="5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10. Documentación y Cierre</w:t>
            </w:r>
          </w:p>
        </w:tc>
        <w:tc>
          <w:tcPr>
            <w:tcW w:type="dxa" w:w="21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30</w:t>
            </w:r>
          </w:p>
        </w:tc>
        <w:tc>
          <w:tcPr>
            <w:tcW w:type="dxa" w:w="2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$1.050.000</w:t>
            </w:r>
          </w:p>
        </w:tc>
      </w:tr>
      <w:tr>
        <w:tc>
          <w:tcPr>
            <w:tcW w:type="dxa" w:w="5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Total</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640</w:t>
            </w:r>
          </w:p>
        </w:tc>
        <w:tc>
          <w:tcPr>
            <w:tcW w:type="dxa" w:w="2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$22.400.000</w:t>
            </w:r>
          </w:p>
        </w:tc>
      </w:tr>
    </w:tbl>
    <w:p>
      <w:pPr>
        <w:pStyle w:val="Heading1"/>
        <w:spacing w:after="160" w:before="320"/>
      </w:pPr>
      <w:r>
        <w:t xml:space="preserve">4. Plan de recursos</w:t>
      </w:r>
    </w:p>
    <w:p>
      <w:pPr>
        <w:spacing w:after="160" w:line="276"/>
      </w:pPr>
      <w:r>
        <w:t xml:space="preserve">Al tratarse de un proyecto individual, los recursos humanos se concentran en el desarrollador, con apoyo puntual del asesor académico. Los recursos técnicos se basan en herramientas de uso gratuito, coherente con el presupuesto del proyecto.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3800"/>
        <w:gridCol w:w="2500"/>
      </w:tblGrid>
      <w:tr>
        <w:trPr>
          <w:tblHeader/>
        </w:trPr>
        <w:tc>
          <w:tcPr>
            <w:tcW w:type="dxa" w:w="26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Recurso</w:t>
            </w:r>
          </w:p>
        </w:tc>
        <w:tc>
          <w:tcPr>
            <w:tcW w:type="dxa" w:w="17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Tipo</w:t>
            </w:r>
          </w:p>
        </w:tc>
        <w:tc>
          <w:tcPr>
            <w:tcW w:type="dxa" w:w="38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Rol / Uso en el proyecto</w:t>
            </w:r>
          </w:p>
        </w:tc>
        <w:tc>
          <w:tcPr>
            <w:tcW w:type="dxa" w:w="25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Disponibilidad</w:t>
            </w:r>
          </w:p>
        </w:tc>
      </w:tr>
      <w:tr>
        <w:tc>
          <w:tcPr>
            <w:tcW w:type="dxa" w:w="2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Sebastian Pico Afanador</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Humano</w:t>
            </w:r>
          </w:p>
        </w:tc>
        <w:tc>
          <w:tcPr>
            <w:tcW w:type="dxa" w:w="3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Director, desarrollador único del proyecto</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Tiempo completo, semanas 1-16</w:t>
            </w:r>
          </w:p>
        </w:tc>
      </w:tr>
      <w:tr>
        <w:tc>
          <w:tcPr>
            <w:tcW w:type="dxa" w:w="2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Lenin Javier Serrano Gil</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Humano</w:t>
            </w:r>
          </w:p>
        </w:tc>
        <w:tc>
          <w:tcPr>
            <w:tcW w:type="dxa" w:w="3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Asesor y evaluador académico</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Revisión semanal de avances</w:t>
            </w:r>
          </w:p>
        </w:tc>
      </w:tr>
      <w:tr>
        <w:tc>
          <w:tcPr>
            <w:tcW w:type="dxa" w:w="2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Android Studio</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Herramienta</w:t>
            </w:r>
          </w:p>
        </w:tc>
        <w:tc>
          <w:tcPr>
            <w:tcW w:type="dxa" w:w="3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Entorno de desarrollo de la app móvil</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Licencia gratuita</w:t>
            </w:r>
          </w:p>
        </w:tc>
      </w:tr>
      <w:tr>
        <w:tc>
          <w:tcPr>
            <w:tcW w:type="dxa" w:w="2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Firebase (Firestore, Auth, Cloud Messaging)</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Herramienta / Infraestructura</w:t>
            </w:r>
          </w:p>
        </w:tc>
        <w:tc>
          <w:tcPr>
            <w:tcW w:type="dxa" w:w="3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Base de datos en tiempo real, autenticación y notificaciones push</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Plan gratuito (Spark)</w:t>
            </w:r>
          </w:p>
        </w:tc>
      </w:tr>
      <w:tr>
        <w:tc>
          <w:tcPr>
            <w:tcW w:type="dxa" w:w="2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GitHub</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Herramienta</w:t>
            </w:r>
          </w:p>
        </w:tc>
        <w:tc>
          <w:tcPr>
            <w:tcW w:type="dxa" w:w="3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Control de versiones y respaldo del código</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Licencia gratuita</w:t>
            </w:r>
          </w:p>
        </w:tc>
      </w:tr>
      <w:tr>
        <w:tc>
          <w:tcPr>
            <w:tcW w:type="dxa" w:w="26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Dispositivo móvil de pruebas</w:t>
            </w:r>
          </w:p>
        </w:tc>
        <w:tc>
          <w:tcPr>
            <w:tcW w:type="dxa" w:w="17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Equipo</w:t>
            </w:r>
          </w:p>
        </w:tc>
        <w:tc>
          <w:tcPr>
            <w:tcW w:type="dxa" w:w="38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Validación funcional en dispositivo real</w:t>
            </w:r>
          </w:p>
        </w:tc>
        <w:tc>
          <w:tcPr>
            <w:tcW w:type="dxa" w:w="2500"/>
            <w:tcBorders>
              <w:top w:val="single" w:color="AAAAAA" w:sz="4"/>
              <w:left w:val="single" w:color="AAAAAA" w:sz="4"/>
              <w:bottom w:val="single" w:color="AAAAAA" w:sz="4"/>
              <w:right w:val="single" w:color="AAAAAA" w:sz="4"/>
            </w:tcBorders>
            <w:shd w:fill="F2F5FB" w:val="clear"/>
            <w:tcMar>
              <w:top w:type="dxa" w:w="80"/>
              <w:left w:type="dxa" w:w="100"/>
              <w:bottom w:type="dxa" w:w="80"/>
              <w:right w:type="dxa" w:w="100"/>
            </w:tcMar>
          </w:tcPr>
          <w:p>
            <w:r>
              <w:rPr>
                <w:b w:val="false"/>
                <w:bCs w:val="false"/>
                <w:sz w:val="18"/>
                <w:szCs w:val="18"/>
              </w:rPr>
              <w:t xml:space="preserve">Disponible durante todo el proyecto</w:t>
            </w:r>
          </w:p>
        </w:tc>
      </w:tr>
      <w:tr>
        <w:tc>
          <w:tcPr>
            <w:tcW w:type="dxa" w:w="26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Equipo de cómputo personal</w:t>
            </w:r>
          </w:p>
        </w:tc>
        <w:tc>
          <w:tcPr>
            <w:tcW w:type="dxa" w:w="17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Equipo</w:t>
            </w:r>
          </w:p>
        </w:tc>
        <w:tc>
          <w:tcPr>
            <w:tcW w:type="dxa" w:w="38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Desarrollo, documentación y pruebas</w:t>
            </w:r>
          </w:p>
        </w:tc>
        <w:tc>
          <w:tcPr>
            <w:tcW w:type="dxa" w:w="2500"/>
            <w:tcBorders>
              <w:top w:val="single" w:color="AAAAAA" w:sz="4"/>
              <w:left w:val="single" w:color="AAAAAA" w:sz="4"/>
              <w:bottom w:val="single" w:color="AAAAAA" w:sz="4"/>
              <w:right w:val="single" w:color="AAAAAA" w:sz="4"/>
            </w:tcBorders>
            <w:tcMar>
              <w:top w:type="dxa" w:w="80"/>
              <w:left w:type="dxa" w:w="100"/>
              <w:bottom w:type="dxa" w:w="80"/>
              <w:right w:type="dxa" w:w="100"/>
            </w:tcMar>
          </w:tcPr>
          <w:p>
            <w:r>
              <w:rPr>
                <w:b w:val="false"/>
                <w:bCs w:val="false"/>
                <w:sz w:val="18"/>
                <w:szCs w:val="18"/>
              </w:rPr>
              <w:t xml:space="preserve">Disponible durante todo el proyecto</w:t>
            </w:r>
          </w:p>
        </w:tc>
      </w:tr>
    </w:tbl>
    <w:p>
      <w:pPr>
        <w:pStyle w:val="Heading1"/>
        <w:spacing w:after="160" w:before="320"/>
      </w:pPr>
      <w:r>
        <w:t xml:space="preserve">5. Plan de gestión de riesgos</w:t>
      </w:r>
    </w:p>
    <w:p>
      <w:pPr>
        <w:spacing w:after="160" w:line="276"/>
      </w:pPr>
      <w:r>
        <w:t xml:space="preserve">El plan de gestión de riesgos identifica, valora y define una estrategia de respuesta para los riesgos con mayor probabilidad de afectar el cumplimiento de los objetivos del proyecto. La probabilidad e impacto se califican como Baja/Media/Alta y Bajo/Medio/Alto respectivamente; la celda de impacto se resalta según su nivel.</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300"/>
        <w:gridCol w:w="1200"/>
        <w:gridCol w:w="1300"/>
        <w:gridCol w:w="3200"/>
        <w:gridCol w:w="1500"/>
      </w:tblGrid>
      <w:tr>
        <w:trPr>
          <w:tblHeader/>
        </w:trPr>
        <w:tc>
          <w:tcPr>
            <w:tcW w:type="dxa" w:w="7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ID</w:t>
            </w:r>
          </w:p>
        </w:tc>
        <w:tc>
          <w:tcPr>
            <w:tcW w:type="dxa" w:w="34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Riesgo</w:t>
            </w:r>
          </w:p>
        </w:tc>
        <w:tc>
          <w:tcPr>
            <w:tcW w:type="dxa" w:w="13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Probabilidad</w:t>
            </w:r>
          </w:p>
        </w:tc>
        <w:tc>
          <w:tcPr>
            <w:tcW w:type="dxa" w:w="12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Impacto</w:t>
            </w:r>
          </w:p>
        </w:tc>
        <w:tc>
          <w:tcPr>
            <w:tcW w:type="dxa" w:w="13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Respuesta</w:t>
            </w:r>
          </w:p>
        </w:tc>
        <w:tc>
          <w:tcPr>
            <w:tcW w:type="dxa" w:w="32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Estrategia de mitigación</w:t>
            </w:r>
          </w:p>
        </w:tc>
        <w:tc>
          <w:tcPr>
            <w:tcW w:type="dxa" w:w="1500"/>
            <w:tcBorders>
              <w:top w:val="single" w:color="AAAAAA" w:sz="4"/>
              <w:left w:val="single" w:color="AAAAAA" w:sz="4"/>
              <w:bottom w:val="single" w:color="AAAAAA" w:sz="4"/>
              <w:right w:val="single" w:color="AAAAAA" w:sz="4"/>
            </w:tcBorders>
            <w:shd w:fill="D9E2F3" w:val="clear"/>
            <w:tcMar>
              <w:top w:type="dxa" w:w="80"/>
              <w:left w:type="dxa" w:w="100"/>
              <w:bottom w:type="dxa" w:w="80"/>
              <w:right w:type="dxa" w:w="100"/>
            </w:tcMar>
          </w:tcPr>
          <w:p>
            <w:r>
              <w:rPr>
                <w:b/>
                <w:bCs/>
                <w:color w:val="1F3864"/>
                <w:sz w:val="18"/>
                <w:szCs w:val="18"/>
              </w:rPr>
              <w:t xml:space="preserve">Responsable</w:t>
            </w:r>
          </w:p>
        </w:tc>
      </w:tr>
      <w:tr>
        <w:tc>
          <w:tcPr>
            <w:tcW w:type="dxa" w:w="7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R01</w:t>
            </w:r>
          </w:p>
        </w:tc>
        <w:tc>
          <w:tcPr>
            <w:tcW w:type="dxa" w:w="34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Baja adopción del QR: los usuarios podrían no entender o no usar el código QR como mecanismo de acceso.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Media</w:t>
            </w:r>
          </w:p>
        </w:tc>
        <w:tc>
          <w:tcPr>
            <w:tcW w:type="dxa" w:w="1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Alto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Mitigar</w:t>
            </w:r>
          </w:p>
        </w:tc>
        <w:tc>
          <w:tcPr>
            <w:tcW w:type="dxa" w:w="3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Ofrecer siempre una alternativa de navegación manual a los espacios.</w:t>
            </w:r>
          </w:p>
        </w:tc>
        <w:tc>
          <w:tcPr>
            <w:tcW w:type="dxa" w:w="15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Desarrollador</w:t>
            </w:r>
          </w:p>
        </w:tc>
      </w:tr>
      <w:tr>
        <w:tc>
          <w:tcPr>
            <w:tcW w:type="dxa" w:w="7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R02</w:t>
            </w:r>
          </w:p>
        </w:tc>
        <w:tc>
          <w:tcPr>
            <w:tcW w:type="dxa" w:w="34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Desactualización del inventario por dependencia del registro manual del usuario.</w:t>
            </w:r>
          </w:p>
        </w:tc>
        <w:tc>
          <w:tcPr>
            <w:tcW w:type="dxa" w:w="13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Alta</w:t>
            </w:r>
          </w:p>
        </w:tc>
        <w:tc>
          <w:tcPr>
            <w:tcW w:type="dxa" w:w="12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Medio</w:t>
            </w:r>
          </w:p>
        </w:tc>
        <w:tc>
          <w:tcPr>
            <w:tcW w:type="dxa" w:w="13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Mitigar</w:t>
            </w:r>
          </w:p>
        </w:tc>
        <w:tc>
          <w:tcPr>
            <w:tcW w:type="dxa" w:w="32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Mantener el registro en mínimos toques (RNF03) y reforzar con notificaciones (RF16).</w:t>
            </w:r>
          </w:p>
        </w:tc>
        <w:tc>
          <w:tcPr>
            <w:tcW w:type="dxa" w:w="15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Desarrollador</w:t>
            </w:r>
          </w:p>
        </w:tc>
      </w:tr>
      <w:tr>
        <w:tc>
          <w:tcPr>
            <w:tcW w:type="dxa" w:w="7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R03</w:t>
            </w:r>
          </w:p>
        </w:tc>
        <w:tc>
          <w:tcPr>
            <w:tcW w:type="dxa" w:w="34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Fatiga de notificaciones por exceso o baja relevancia de las alertas.</w:t>
            </w:r>
          </w:p>
        </w:tc>
        <w:tc>
          <w:tcPr>
            <w:tcW w:type="dxa" w:w="13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Media</w:t>
            </w:r>
          </w:p>
        </w:tc>
        <w:tc>
          <w:tcPr>
            <w:tcW w:type="dxa" w:w="12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Medio</w:t>
            </w:r>
          </w:p>
        </w:tc>
        <w:tc>
          <w:tcPr>
            <w:tcW w:type="dxa" w:w="13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Mitigar</w:t>
            </w:r>
          </w:p>
        </w:tc>
        <w:tc>
          <w:tcPr>
            <w:tcW w:type="dxa" w:w="32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Notificar solo ante eventos relevantes: producto agotado o en mínimo.</w:t>
            </w:r>
          </w:p>
        </w:tc>
        <w:tc>
          <w:tcPr>
            <w:tcW w:type="dxa" w:w="15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Desarrollador</w:t>
            </w:r>
          </w:p>
        </w:tc>
      </w:tr>
      <w:tr>
        <w:tc>
          <w:tcPr>
            <w:tcW w:type="dxa" w:w="7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R04</w:t>
            </w:r>
          </w:p>
        </w:tc>
        <w:tc>
          <w:tcPr>
            <w:tcW w:type="dxa" w:w="34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Falla técnica en la sincronización en tiempo real (RF15), el requerimiento de mayor complejidad.</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Media</w:t>
            </w:r>
          </w:p>
        </w:tc>
        <w:tc>
          <w:tcPr>
            <w:tcW w:type="dxa" w:w="1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Alto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Mitigar</w:t>
            </w:r>
          </w:p>
        </w:tc>
        <w:tc>
          <w:tcPr>
            <w:tcW w:type="dxa" w:w="3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Implementar modo offline con sincronización diferida (RNF02) y pruebas tempranas de arquitectura.</w:t>
            </w:r>
          </w:p>
        </w:tc>
        <w:tc>
          <w:tcPr>
            <w:tcW w:type="dxa" w:w="15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Desarrollador</w:t>
            </w:r>
          </w:p>
        </w:tc>
      </w:tr>
      <w:tr>
        <w:tc>
          <w:tcPr>
            <w:tcW w:type="dxa" w:w="7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R05</w:t>
            </w:r>
          </w:p>
        </w:tc>
        <w:tc>
          <w:tcPr>
            <w:tcW w:type="dxa" w:w="34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Aumento de alcance (scope creep) al agregar funcionalidades no esenciales.</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Media</w:t>
            </w:r>
          </w:p>
        </w:tc>
        <w:tc>
          <w:tcPr>
            <w:tcW w:type="dxa" w:w="1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Alto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Evitar</w:t>
            </w:r>
          </w:p>
        </w:tc>
        <w:tc>
          <w:tcPr>
            <w:tcW w:type="dxa" w:w="3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Respetar estrictamente la priorización MoSCoW y enfocar el MVP en los requerimientos Must have.</w:t>
            </w:r>
          </w:p>
        </w:tc>
        <w:tc>
          <w:tcPr>
            <w:tcW w:type="dxa" w:w="15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Director del proyecto</w:t>
            </w:r>
          </w:p>
        </w:tc>
      </w:tr>
      <w:tr>
        <w:tc>
          <w:tcPr>
            <w:tcW w:type="dxa" w:w="7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R06</w:t>
            </w:r>
          </w:p>
        </w:tc>
        <w:tc>
          <w:tcPr>
            <w:tcW w:type="dxa" w:w="34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Retraso por tratarse de un desarrollo unipersonal: cualquier atraso en un requerimiento de esfuerzo L compromete el cronograma.</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Alta</w:t>
            </w:r>
          </w:p>
        </w:tc>
        <w:tc>
          <w:tcPr>
            <w:tcW w:type="dxa" w:w="1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Alto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Mitigar</w:t>
            </w:r>
          </w:p>
        </w:tc>
        <w:tc>
          <w:tcPr>
            <w:tcW w:type="dxa" w:w="3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Dejar margen en el cronograma para requerimientos L y validar avances semanalmente con actas de seguimiento.</w:t>
            </w:r>
          </w:p>
        </w:tc>
        <w:tc>
          <w:tcPr>
            <w:tcW w:type="dxa" w:w="15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Director del proyecto</w:t>
            </w:r>
          </w:p>
        </w:tc>
      </w:tr>
      <w:tr>
        <w:tc>
          <w:tcPr>
            <w:tcW w:type="dxa" w:w="7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R07</w:t>
            </w:r>
          </w:p>
        </w:tc>
        <w:tc>
          <w:tcPr>
            <w:tcW w:type="dxa" w:w="34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Indisponibilidad del desarrollador (enfermedad u otros imprevistos), al no existir equipo de respaldo.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Baja</w:t>
            </w:r>
          </w:p>
        </w:tc>
        <w:tc>
          <w:tcPr>
            <w:tcW w:type="dxa" w:w="1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Alto</w:t>
            </w:r>
          </w:p>
        </w:tc>
        <w:tc>
          <w:tcPr>
            <w:tcW w:type="dxa" w:w="13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Aceptar</w:t>
            </w:r>
          </w:p>
        </w:tc>
        <w:tc>
          <w:tcPr>
            <w:tcW w:type="dxa" w:w="32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Documentar el progreso continuamente en el tablero Kanban para facilitar la reanudación del trabajo.</w:t>
            </w:r>
          </w:p>
        </w:tc>
        <w:tc>
          <w:tcPr>
            <w:tcW w:type="dxa" w:w="1500"/>
            <w:tcBorders>
              <w:top w:val="single" w:color="AAAAAA" w:sz="4"/>
              <w:left w:val="single" w:color="AAAAAA" w:sz="4"/>
              <w:bottom w:val="single" w:color="AAAAAA" w:sz="4"/>
              <w:right w:val="single" w:color="AAAAAA" w:sz="4"/>
            </w:tcBorders>
            <w:shd w:fill="F8D7DA" w:val="clear"/>
            <w:tcMar>
              <w:top w:type="dxa" w:w="80"/>
              <w:left w:type="dxa" w:w="100"/>
              <w:bottom w:type="dxa" w:w="80"/>
              <w:right w:type="dxa" w:w="100"/>
            </w:tcMar>
          </w:tcPr>
          <w:p>
            <w:r>
              <w:rPr>
                <w:b w:val="false"/>
                <w:bCs w:val="false"/>
                <w:sz w:val="18"/>
                <w:szCs w:val="18"/>
              </w:rPr>
              <w:t xml:space="preserve">Director del proyecto</w:t>
            </w:r>
          </w:p>
        </w:tc>
      </w:tr>
      <w:tr>
        <w:tc>
          <w:tcPr>
            <w:tcW w:type="dxa" w:w="7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R08</w:t>
            </w:r>
          </w:p>
        </w:tc>
        <w:tc>
          <w:tcPr>
            <w:tcW w:type="dxa" w:w="34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Limitaciones del plan gratuito de Firebase ante el crecimiento de datos de prueba.</w:t>
            </w:r>
          </w:p>
        </w:tc>
        <w:tc>
          <w:tcPr>
            <w:tcW w:type="dxa" w:w="13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Baja</w:t>
            </w:r>
          </w:p>
        </w:tc>
        <w:tc>
          <w:tcPr>
            <w:tcW w:type="dxa" w:w="12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Medio</w:t>
            </w:r>
          </w:p>
        </w:tc>
        <w:tc>
          <w:tcPr>
            <w:tcW w:type="dxa" w:w="13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Mitigar</w:t>
            </w:r>
          </w:p>
        </w:tc>
        <w:tc>
          <w:tcPr>
            <w:tcW w:type="dxa" w:w="32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Monitorear el consumo del plan Spark y depurar datos de prueba periódicamente.</w:t>
            </w:r>
          </w:p>
        </w:tc>
        <w:tc>
          <w:tcPr>
            <w:tcW w:type="dxa" w:w="1500"/>
            <w:tcBorders>
              <w:top w:val="single" w:color="AAAAAA" w:sz="4"/>
              <w:left w:val="single" w:color="AAAAAA" w:sz="4"/>
              <w:bottom w:val="single" w:color="AAAAAA" w:sz="4"/>
              <w:right w:val="single" w:color="AAAAAA" w:sz="4"/>
            </w:tcBorders>
            <w:shd w:fill="FFF3CD" w:val="clear"/>
            <w:tcMar>
              <w:top w:type="dxa" w:w="80"/>
              <w:left w:type="dxa" w:w="100"/>
              <w:bottom w:type="dxa" w:w="80"/>
              <w:right w:type="dxa" w:w="100"/>
            </w:tcMar>
          </w:tcPr>
          <w:p>
            <w:r>
              <w:rPr>
                <w:b w:val="false"/>
                <w:bCs w:val="false"/>
                <w:sz w:val="18"/>
                <w:szCs w:val="18"/>
              </w:rPr>
              <w:t xml:space="preserve">Desarrollador</w:t>
            </w:r>
          </w:p>
        </w:tc>
      </w:tr>
    </w:tbl>
    <w:p>
      <w:pPr>
        <w:spacing w:after="160" w:line="276"/>
      </w:pPr>
      <w:r>
        <w:t xml:space="preserve"/>
      </w:r>
    </w:p>
    <w:p>
      <w:pPr>
        <w:spacing w:after="160" w:line="276"/>
      </w:pPr>
      <w:r>
        <w:t xml:space="preserve">Los riesgos R04 (falla de sincronización) y R06 (retraso por desarrollo unipersonal) son los de mayor atención por su impacto Alto combinado con probabilidad Media-Alta; ambos están directamente relacionados con los requerimientos de mayor esfuerzo (L) identificados en la Especificación de Requerimientos: RF12, RF15, RNF02 y RNF06. El seguimiento semanal mediante actas y el margen adicional en el cronograma de estos requerimientos constituyen la principal medida de control.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Aplicación móvil para la gestión de suministros del hogar mediante códigos QR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3864"/>
      <w:sz w:val="28"/>
      <w:szCs w:val="28"/>
    </w:rPr>
  </w:style>
  <w:style w:type="paragraph" w:styleId="Heading2">
    <w:name w:val="Heading 2"/>
    <w:basedOn w:val="Normal"/>
    <w:next w:val="Normal"/>
    <w:qFormat/>
    <w:pPr>
      <w:spacing w:after="120" w:before="240"/>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2026-08-02T15:43:40.205Z</dcterms:created>
  <dcterms:modified xsi:type="dcterms:W3CDTF">2026-08-02T15:43:40.206Z</dcterms:modified>
</cp:coreProperties>
</file>

<file path=docProps/custom.xml><?xml version="1.0" encoding="utf-8"?>
<Properties xmlns="http://schemas.openxmlformats.org/officeDocument/2006/custom-properties" xmlns:vt="http://schemas.openxmlformats.org/officeDocument/2006/docPropsVTypes"/>
</file>