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40"/>
        <w:jc w:val="center"/>
      </w:pPr>
      <w:r>
        <w:rPr>
          <w:rFonts w:ascii="Arial" w:hAnsi="Arial"/>
          <w:b/>
          <w:i w:val="0"/>
          <w:color w:val="003366"/>
          <w:sz w:val="24"/>
        </w:rPr>
        <w:t>UNIVERSIDAD POLITÉCNICA ESTATAL DEL CARCHI</w:t>
        <w:br/>
        <w:t>FACULTAD DE INDUSTRIAS AGROPECUARIAS Y CIENCIAS AMBIENTALES</w:t>
        <w:br/>
        <w:t>CARRERA DE COMPUTACIÓN</w:t>
      </w:r>
    </w:p>
    <w:p>
      <w:pPr>
        <w:spacing w:before="600" w:after="280" w:line="288" w:lineRule="auto"/>
        <w:jc w:val="center"/>
      </w:pPr>
      <w:r>
        <w:rPr>
          <w:rFonts w:ascii="Arial" w:hAnsi="Arial"/>
          <w:b/>
          <w:i w:val="0"/>
          <w:color w:val="003366"/>
          <w:sz w:val="26"/>
        </w:rPr>
        <w:t>BúhoPass: Especificación de Ingeniería de Software (Estándar IEEE / APA 7ma Edición) - Pantalla Principal, Requisitos, Alcanzabilidad, Roles IEEE 3080/12207, Diagramas de Proceso y Despliegue Docker</w:t>
      </w:r>
    </w:p>
    <w:p>
      <w:pPr>
        <w:spacing w:before="720" w:after="120" w:line="312" w:lineRule="auto"/>
        <w:jc w:val="center"/>
      </w:pPr>
      <w:r>
        <w:rPr>
          <w:rFonts w:ascii="Arial" w:hAnsi="Arial"/>
          <w:b/>
          <w:i w:val="0"/>
          <w:color w:val="222222"/>
          <w:sz w:val="22"/>
        </w:rPr>
        <w:t>Equipo de Desarrollo e Ingeniería:</w:t>
        <w:br/>
      </w:r>
      <w:r>
        <w:rPr>
          <w:rFonts w:ascii="Arial" w:hAnsi="Arial"/>
          <w:b w:val="0"/>
          <w:i w:val="0"/>
          <w:color w:val="222222"/>
          <w:sz w:val="22"/>
        </w:rPr>
        <w:t>Sebastián Reina (Líder de Proyecto / Product Owner &amp; Frontend Flutter)</w:t>
        <w:br/>
        <w:t>Edelina Cadena (Backend &amp; Database Architect / QA Lead)</w:t>
        <w:br/>
        <w:t>Jordy Lema (IoT, Hardware &amp; DevOps Engineer)</w:t>
        <w:br/>
        <w:t>Melisa Ponce (Computer Vision &amp; AI Engineer)</w:t>
        <w:br/>
        <w:br/>
      </w:r>
      <w:r>
        <w:rPr>
          <w:rFonts w:ascii="Arial" w:hAnsi="Arial"/>
          <w:b/>
          <w:i w:val="0"/>
          <w:color w:val="222222"/>
          <w:sz w:val="22"/>
        </w:rPr>
        <w:t>Asignatura:</w:t>
        <w:br/>
      </w:r>
      <w:r>
        <w:rPr>
          <w:rFonts w:ascii="Arial" w:hAnsi="Arial"/>
          <w:b w:val="0"/>
          <w:i w:val="0"/>
          <w:color w:val="222222"/>
          <w:sz w:val="22"/>
        </w:rPr>
        <w:t>Aplicaciones Móviles &amp; Visión por Computador</w:t>
        <w:br/>
        <w:br/>
      </w:r>
      <w:r>
        <w:rPr>
          <w:rFonts w:ascii="Arial" w:hAnsi="Arial"/>
          <w:b/>
          <w:i w:val="0"/>
          <w:color w:val="222222"/>
          <w:sz w:val="22"/>
        </w:rPr>
        <w:t>Docente Tutor:</w:t>
        <w:br/>
      </w:r>
      <w:r>
        <w:rPr>
          <w:rFonts w:ascii="Arial" w:hAnsi="Arial"/>
          <w:b w:val="0"/>
          <w:i w:val="0"/>
          <w:color w:val="222222"/>
          <w:sz w:val="22"/>
        </w:rPr>
        <w:t>Ing. Samuel Lascano</w:t>
        <w:br/>
        <w:br/>
      </w:r>
      <w:r>
        <w:rPr>
          <w:rFonts w:ascii="Arial" w:hAnsi="Arial"/>
          <w:b/>
          <w:i w:val="0"/>
          <w:color w:val="222222"/>
          <w:sz w:val="22"/>
        </w:rPr>
        <w:t>Fecha:</w:t>
        <w:br/>
      </w:r>
      <w:r>
        <w:rPr>
          <w:rFonts w:ascii="Arial" w:hAnsi="Arial"/>
          <w:b w:val="0"/>
          <w:i w:val="0"/>
          <w:color w:val="222222"/>
          <w:sz w:val="22"/>
        </w:rPr>
        <w:t>Septiembre de 2026</w:t>
        <w:br/>
        <w:t>Tulcán, Carchi, Ecuador</w:t>
      </w:r>
    </w:p>
    <w:p>
      <w:r>
        <w:br w:type="page"/>
      </w:r>
    </w:p>
    <w:p>
      <w:pPr>
        <w:keepNext/>
        <w:spacing w:before="320" w:after="120"/>
        <w:jc w:val="center"/>
      </w:pPr>
      <w:r>
        <w:rPr>
          <w:rFonts w:ascii="Arial" w:hAnsi="Arial"/>
          <w:b/>
          <w:i w:val="0"/>
          <w:color w:val="003366"/>
          <w:sz w:val="25"/>
        </w:rPr>
        <w:t>1. Especificación de la Pantalla Principal (UI/UX Móvil)</w:t>
      </w:r>
    </w:p>
    <w:p>
      <w:pPr>
        <w:spacing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222222"/>
          <w:sz w:val="22"/>
        </w:rPr>
        <w:t>La Pantalla Principal (Dashboard Docente) de BúhoPass ha sido diseñada bajo el estándar Material Design 3 de Flutter para maximizar la usabilidad, la legibilidad y la inmediatez en el aula universitaria. La interfaz se estructura en cuatro componentes funcionales:</w:t>
      </w:r>
    </w:p>
    <w:p>
      <w:pPr>
        <w:spacing w:after="80" w:line="276" w:lineRule="auto"/>
        <w:ind w:left="720"/>
        <w:jc w:val="both"/>
      </w:pPr>
      <w:r>
        <w:rPr>
          <w:rFonts w:ascii="Arial" w:hAnsi="Arial"/>
          <w:b/>
          <w:i w:val="0"/>
          <w:color w:val="003366"/>
          <w:sz w:val="22"/>
        </w:rPr>
        <w:t xml:space="preserve">• </w:t>
      </w:r>
      <w:r>
        <w:rPr>
          <w:rFonts w:ascii="Arial" w:hAnsi="Arial"/>
          <w:b/>
          <w:i w:val="0"/>
          <w:color w:val="222222"/>
          <w:sz w:val="22"/>
        </w:rPr>
        <w:t xml:space="preserve">1. Barra de Estado y Selector de Asignatura: </w:t>
      </w:r>
      <w:r>
        <w:rPr>
          <w:rFonts w:ascii="Arial" w:hAnsi="Arial"/>
          <w:b w:val="0"/>
          <w:i w:val="0"/>
          <w:color w:val="222222"/>
          <w:sz w:val="22"/>
        </w:rPr>
        <w:t>Permite al docente seleccionar el paralelo activo (ej. 'Aplicaciones Móviles - 7mo AM') y muestra el estado de conexión en vivo con el motor de visión y el asistente.</w:t>
      </w:r>
    </w:p>
    <w:p>
      <w:pPr>
        <w:spacing w:after="80" w:line="276" w:lineRule="auto"/>
        <w:ind w:left="720"/>
        <w:jc w:val="both"/>
      </w:pPr>
      <w:r>
        <w:rPr>
          <w:rFonts w:ascii="Arial" w:hAnsi="Arial"/>
          <w:b/>
          <w:i w:val="0"/>
          <w:color w:val="003366"/>
          <w:sz w:val="22"/>
        </w:rPr>
        <w:t xml:space="preserve">• </w:t>
      </w:r>
      <w:r>
        <w:rPr>
          <w:rFonts w:ascii="Arial" w:hAnsi="Arial"/>
          <w:b/>
          <w:i w:val="0"/>
          <w:color w:val="222222"/>
          <w:sz w:val="22"/>
        </w:rPr>
        <w:t xml:space="preserve">2. Panel de Indicadores Cuantitativos (KPIs en Tiempo Real): </w:t>
      </w:r>
      <w:r>
        <w:rPr>
          <w:rFonts w:ascii="Arial" w:hAnsi="Arial"/>
          <w:b w:val="0"/>
          <w:i w:val="0"/>
          <w:color w:val="222222"/>
          <w:sz w:val="22"/>
        </w:rPr>
        <w:t>Muestra tarjetas dinámicas con el Total de Estudiantes Matriculados, Presentes, Ausentes y el Porcentaje de Asistencia calculado al instante.</w:t>
      </w:r>
    </w:p>
    <w:p>
      <w:pPr>
        <w:spacing w:after="80" w:line="276" w:lineRule="auto"/>
        <w:ind w:left="720"/>
        <w:jc w:val="both"/>
      </w:pPr>
      <w:r>
        <w:rPr>
          <w:rFonts w:ascii="Arial" w:hAnsi="Arial"/>
          <w:b/>
          <w:i w:val="0"/>
          <w:color w:val="003366"/>
          <w:sz w:val="22"/>
        </w:rPr>
        <w:t xml:space="preserve">• </w:t>
      </w:r>
      <w:r>
        <w:rPr>
          <w:rFonts w:ascii="Arial" w:hAnsi="Arial"/>
          <w:b/>
          <w:i w:val="0"/>
          <w:color w:val="222222"/>
          <w:sz w:val="22"/>
        </w:rPr>
        <w:t xml:space="preserve">3. Lista de Estudiantes con Tarjeta de Estado Interactivo: </w:t>
      </w:r>
      <w:r>
        <w:rPr>
          <w:rFonts w:ascii="Arial" w:hAnsi="Arial"/>
          <w:b w:val="0"/>
          <w:i w:val="0"/>
          <w:color w:val="222222"/>
          <w:sz w:val="22"/>
        </w:rPr>
        <w:t>Cada tarjeta despliega el nombre completo del alumno, código UPEC, hora exacta de detección facial (ej. 07:05:12), método de registro ('Facial-Carchito' o 'Manual-Docente') y un botón de toggle manual para rectificaciones rápidas.</w:t>
      </w:r>
    </w:p>
    <w:p>
      <w:pPr>
        <w:spacing w:after="80" w:line="276" w:lineRule="auto"/>
        <w:ind w:left="720"/>
        <w:jc w:val="both"/>
      </w:pPr>
      <w:r>
        <w:rPr>
          <w:rFonts w:ascii="Arial" w:hAnsi="Arial"/>
          <w:b/>
          <w:i w:val="0"/>
          <w:color w:val="003366"/>
          <w:sz w:val="22"/>
        </w:rPr>
        <w:t xml:space="preserve">• </w:t>
      </w:r>
      <w:r>
        <w:rPr>
          <w:rFonts w:ascii="Arial" w:hAnsi="Arial"/>
          <w:b/>
          <w:i w:val="0"/>
          <w:color w:val="222222"/>
          <w:sz w:val="22"/>
        </w:rPr>
        <w:t xml:space="preserve">4. Barra Inferior de Acciones Rápidas: </w:t>
      </w:r>
      <w:r>
        <w:rPr>
          <w:rFonts w:ascii="Arial" w:hAnsi="Arial"/>
          <w:b w:val="0"/>
          <w:i w:val="0"/>
          <w:color w:val="222222"/>
          <w:sz w:val="22"/>
        </w:rPr>
        <w:t>Proporciona acceso directo al Asistente Virtual 'Carchito' (activación de micrófono por voz) y al módulo de Enrolamiento Biométrico de nuevos estudiantes.</w:t>
      </w:r>
    </w:p>
    <w:p>
      <w:pPr>
        <w:keepNext/>
        <w:spacing w:before="320" w:after="120"/>
        <w:jc w:val="center"/>
      </w:pPr>
      <w:r>
        <w:rPr>
          <w:rFonts w:ascii="Arial" w:hAnsi="Arial"/>
          <w:b/>
          <w:i w:val="0"/>
          <w:color w:val="003366"/>
          <w:sz w:val="25"/>
        </w:rPr>
        <w:t>2. Requisitos del Sistema (Estándar IEEE 830 / ISO 25010)</w:t>
      </w:r>
    </w:p>
    <w:p>
      <w:pPr>
        <w:keepNext/>
        <w:spacing w:before="24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2.1 Requisitos Funcionales (RF)</w:t>
      </w:r>
    </w:p>
    <w:p>
      <w:pPr>
        <w:spacing w:before="160"/>
      </w:pPr>
      <w:r>
        <w:rPr>
          <w:rFonts w:ascii="Arial" w:hAnsi="Arial"/>
          <w:b/>
          <w:i w:val="0"/>
          <w:color w:val="003366"/>
          <w:sz w:val="20"/>
        </w:rPr>
        <w:t>Tabla 1</w:t>
        <w:br/>
      </w:r>
      <w:r>
        <w:rPr>
          <w:rFonts w:ascii="Arial" w:hAnsi="Arial"/>
          <w:b w:val="0"/>
          <w:i/>
          <w:color w:val="222222"/>
          <w:sz w:val="20"/>
        </w:rPr>
        <w:t>Matriz de Requisitos Funcionales del Sistema BúhoPass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728"/>
            <w:shd w:fill="F4F6F9"/>
            <w:tcBorders>
              <w:top w:val="single" w:sz="8" w:space="0" w:color="003366"/>
              <w:left w:val="none"/>
              <w:bottom w:val="single" w:sz="8" w:space="0" w:color="003366"/>
              <w:right w:val="none"/>
            </w:tcBorders>
          </w:tcPr>
          <w:p>
            <w:r/>
            <w:r>
              <w:rPr>
                <w:rFonts w:ascii="Arial" w:hAnsi="Arial"/>
                <w:b/>
                <w:i w:val="0"/>
                <w:color w:val="003366"/>
                <w:sz w:val="19"/>
              </w:rPr>
              <w:t>Código</w:t>
            </w:r>
          </w:p>
        </w:tc>
        <w:tc>
          <w:tcPr>
            <w:tcW w:type="dxa" w:w="3312"/>
            <w:shd w:fill="F4F6F9"/>
            <w:tcBorders>
              <w:top w:val="single" w:sz="8" w:space="0" w:color="003366"/>
              <w:left w:val="none"/>
              <w:bottom w:val="single" w:sz="8" w:space="0" w:color="003366"/>
              <w:right w:val="none"/>
            </w:tcBorders>
          </w:tcPr>
          <w:p>
            <w:r/>
            <w:r>
              <w:rPr>
                <w:rFonts w:ascii="Arial" w:hAnsi="Arial"/>
                <w:b/>
                <w:i w:val="0"/>
                <w:color w:val="003366"/>
                <w:sz w:val="19"/>
              </w:rPr>
              <w:t>Requisito Funcional</w:t>
            </w:r>
          </w:p>
        </w:tc>
        <w:tc>
          <w:tcPr>
            <w:tcW w:type="dxa" w:w="4320"/>
            <w:shd w:fill="F4F6F9"/>
            <w:tcBorders>
              <w:top w:val="single" w:sz="8" w:space="0" w:color="003366"/>
              <w:left w:val="none"/>
              <w:bottom w:val="single" w:sz="8" w:space="0" w:color="003366"/>
              <w:right w:val="none"/>
            </w:tcBorders>
          </w:tcPr>
          <w:p>
            <w:r/>
            <w:r>
              <w:rPr>
                <w:rFonts w:ascii="Arial" w:hAnsi="Arial"/>
                <w:b/>
                <w:i w:val="0"/>
                <w:color w:val="003366"/>
                <w:sz w:val="19"/>
              </w:rPr>
              <w:t>Descripción y Criterio de Aceptación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RF-01</w:t>
            </w:r>
          </w:p>
        </w:tc>
        <w:tc>
          <w:tcPr>
            <w:tcW w:type="dxa" w:w="331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Detección y Reconocimiento Facial en Vivo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El sistema debe capturar el flujo de video de la cámara, detectar rostros humanos y contrastar sus descriptores contra el dataset de estudiantes matriculados.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RF-02</w:t>
            </w:r>
          </w:p>
        </w:tc>
        <w:tc>
          <w:tcPr>
            <w:tcW w:type="dxa" w:w="331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Activación por Comandos de Voz ('Carchito')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El asistente virtual debe escuchar el comando verbal 'Hola Carchito' e iniciar o detener la toma de asistencia con retroalimentación auditiva.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RF-03</w:t>
            </w:r>
          </w:p>
        </w:tc>
        <w:tc>
          <w:tcPr>
            <w:tcW w:type="dxa" w:w="331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Registro Automático y Persistencia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Al identificar a un estudiante, el sistema debe registrar en la base de datos SQLite la fecha, hora exacta y estado 'Presente' sin intervención manual.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RF-04</w:t>
            </w:r>
          </w:p>
        </w:tc>
        <w:tc>
          <w:tcPr>
            <w:tcW w:type="dxa" w:w="331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Edición y Respaldo Manual Docente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La app móvil debe permitir al profesor alternar manualmente el estado de asistencia de cualquier estudiante para corregir eventualidades.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RF-05</w:t>
            </w:r>
          </w:p>
        </w:tc>
        <w:tc>
          <w:tcPr>
            <w:tcW w:type="dxa" w:w="331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Enrolamiento Biométrico de Usuarios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Módulo para registrar a un nuevo estudiante, capturar su fotografía base y almacenar su código y nombre en el dataset.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none"/>
              <w:left w:val="none"/>
              <w:bottom w:val="single" w:sz="8" w:space="0" w:color="003366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RF-06</w:t>
            </w:r>
          </w:p>
        </w:tc>
        <w:tc>
          <w:tcPr>
            <w:tcW w:type="dxa" w:w="3312"/>
            <w:tcBorders>
              <w:top w:val="none"/>
              <w:left w:val="none"/>
              <w:bottom w:val="single" w:sz="8" w:space="0" w:color="003366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Sincronización en Tiempo Real</w:t>
            </w:r>
          </w:p>
        </w:tc>
        <w:tc>
          <w:tcPr>
            <w:tcW w:type="dxa" w:w="4320"/>
            <w:tcBorders>
              <w:top w:val="none"/>
              <w:left w:val="none"/>
              <w:bottom w:val="single" w:sz="8" w:space="0" w:color="003366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La aplicación móvil debe actualizar la lista y los porcentajes de asistencia cada 3 segundos mediante llamadas a la API REST.</w:t>
            </w:r>
          </w:p>
        </w:tc>
      </w:tr>
    </w:tbl>
    <w:p>
      <w:pPr>
        <w:spacing w:after="120"/>
      </w:pPr>
    </w:p>
    <w:p>
      <w:pPr>
        <w:keepNext/>
        <w:spacing w:before="24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2.2 Requisitos No Funcionales (RNF - ISO/IEC 25010)</w:t>
      </w:r>
    </w:p>
    <w:p>
      <w:pPr>
        <w:spacing w:after="80" w:line="276" w:lineRule="auto"/>
        <w:ind w:left="720"/>
        <w:jc w:val="both"/>
      </w:pPr>
      <w:r>
        <w:rPr>
          <w:rFonts w:ascii="Arial" w:hAnsi="Arial"/>
          <w:b/>
          <w:i w:val="0"/>
          <w:color w:val="003366"/>
          <w:sz w:val="22"/>
        </w:rPr>
        <w:t xml:space="preserve">• </w:t>
      </w:r>
      <w:r>
        <w:rPr>
          <w:rFonts w:ascii="Arial" w:hAnsi="Arial"/>
          <w:b/>
          <w:i w:val="0"/>
          <w:color w:val="222222"/>
          <w:sz w:val="22"/>
        </w:rPr>
        <w:t xml:space="preserve">RNF-01 (Rendimiento y Latencia): </w:t>
      </w:r>
      <w:r>
        <w:rPr>
          <w:rFonts w:ascii="Arial" w:hAnsi="Arial"/>
          <w:b w:val="0"/>
          <w:i w:val="0"/>
          <w:color w:val="222222"/>
          <w:sz w:val="22"/>
        </w:rPr>
        <w:t>El reconocimiento facial debe procesarse en un tiempo máximo de 1.5 a 2.5 segundos por estudiante, manteniendo una tasa de procesamiento de al menos 15 FPS.</w:t>
      </w:r>
    </w:p>
    <w:p>
      <w:pPr>
        <w:spacing w:after="80" w:line="276" w:lineRule="auto"/>
        <w:ind w:left="720"/>
        <w:jc w:val="both"/>
      </w:pPr>
      <w:r>
        <w:rPr>
          <w:rFonts w:ascii="Arial" w:hAnsi="Arial"/>
          <w:b/>
          <w:i w:val="0"/>
          <w:color w:val="003366"/>
          <w:sz w:val="22"/>
        </w:rPr>
        <w:t xml:space="preserve">• </w:t>
      </w:r>
      <w:r>
        <w:rPr>
          <w:rFonts w:ascii="Arial" w:hAnsi="Arial"/>
          <w:b/>
          <w:i w:val="0"/>
          <w:color w:val="222222"/>
          <w:sz w:val="22"/>
        </w:rPr>
        <w:t xml:space="preserve">RNF-02 (Seguridad y Privacidad Biométrica): </w:t>
      </w:r>
      <w:r>
        <w:rPr>
          <w:rFonts w:ascii="Arial" w:hAnsi="Arial"/>
          <w:b w:val="0"/>
          <w:i w:val="0"/>
          <w:color w:val="222222"/>
          <w:sz w:val="22"/>
        </w:rPr>
        <w:t>Las imágenes del dataset y las credenciales deben almacenarse localmente con permisos restringidos, cumpliendo con la Ley Orgánica de Protección de Datos Personales (LOPDP Ecuador).</w:t>
      </w:r>
    </w:p>
    <w:p>
      <w:pPr>
        <w:spacing w:after="80" w:line="276" w:lineRule="auto"/>
        <w:ind w:left="720"/>
        <w:jc w:val="both"/>
      </w:pPr>
      <w:r>
        <w:rPr>
          <w:rFonts w:ascii="Arial" w:hAnsi="Arial"/>
          <w:b/>
          <w:i w:val="0"/>
          <w:color w:val="003366"/>
          <w:sz w:val="22"/>
        </w:rPr>
        <w:t xml:space="preserve">• </w:t>
      </w:r>
      <w:r>
        <w:rPr>
          <w:rFonts w:ascii="Arial" w:hAnsi="Arial"/>
          <w:b/>
          <w:i w:val="0"/>
          <w:color w:val="222222"/>
          <w:sz w:val="22"/>
        </w:rPr>
        <w:t xml:space="preserve">RNF-03 (Portabilidad y Despliegue): </w:t>
      </w:r>
      <w:r>
        <w:rPr>
          <w:rFonts w:ascii="Arial" w:hAnsi="Arial"/>
          <w:b w:val="0"/>
          <w:i w:val="0"/>
          <w:color w:val="222222"/>
          <w:sz w:val="22"/>
        </w:rPr>
        <w:t>El backend debe estar completamente empaquetado en contenedores Docker (Linux/Windows), permitiendo su ejecución sin configuración manual de dependencias.</w:t>
      </w:r>
    </w:p>
    <w:p>
      <w:pPr>
        <w:spacing w:after="80" w:line="276" w:lineRule="auto"/>
        <w:ind w:left="720"/>
        <w:jc w:val="both"/>
      </w:pPr>
      <w:r>
        <w:rPr>
          <w:rFonts w:ascii="Arial" w:hAnsi="Arial"/>
          <w:b/>
          <w:i w:val="0"/>
          <w:color w:val="003366"/>
          <w:sz w:val="22"/>
        </w:rPr>
        <w:t xml:space="preserve">• </w:t>
      </w:r>
      <w:r>
        <w:rPr>
          <w:rFonts w:ascii="Arial" w:hAnsi="Arial"/>
          <w:b/>
          <w:i w:val="0"/>
          <w:color w:val="222222"/>
          <w:sz w:val="22"/>
        </w:rPr>
        <w:t xml:space="preserve">RNF-04 (Compatibilidad Móvil APK): </w:t>
      </w:r>
      <w:r>
        <w:rPr>
          <w:rFonts w:ascii="Arial" w:hAnsi="Arial"/>
          <w:b w:val="0"/>
          <w:i w:val="0"/>
          <w:color w:val="222222"/>
          <w:sz w:val="22"/>
        </w:rPr>
        <w:t>La aplicación móvil debe compilarse en formato APK nativo para Android 10 (API 29) o superior, con interfaz responsiva y bajo consumo de batería.</w:t>
      </w:r>
    </w:p>
    <w:p>
      <w:pPr>
        <w:keepNext/>
        <w:spacing w:before="320" w:after="120"/>
        <w:jc w:val="center"/>
      </w:pPr>
      <w:r>
        <w:rPr>
          <w:rFonts w:ascii="Arial" w:hAnsi="Arial"/>
          <w:b/>
          <w:i w:val="0"/>
          <w:color w:val="003366"/>
          <w:sz w:val="25"/>
        </w:rPr>
        <w:t>3. Matriz de Alcanzabilidad y Trazabilidad (Scope &amp; Reachability)</w:t>
      </w:r>
    </w:p>
    <w:p>
      <w:pPr>
        <w:spacing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222222"/>
          <w:sz w:val="22"/>
        </w:rPr>
        <w:t>La matriz de alcanzabilidad define la viabilidad técnica y operativa de los componentes del proyecto entre la versión inicial (MVP de 16 semanas) y las versiones evolutivas futuras:</w:t>
      </w:r>
    </w:p>
    <w:p>
      <w:pPr>
        <w:spacing w:before="160"/>
      </w:pPr>
      <w:r>
        <w:rPr>
          <w:rFonts w:ascii="Arial" w:hAnsi="Arial"/>
          <w:b/>
          <w:i w:val="0"/>
          <w:color w:val="003366"/>
          <w:sz w:val="20"/>
        </w:rPr>
        <w:t>Tabla 2</w:t>
        <w:br/>
      </w:r>
      <w:r>
        <w:rPr>
          <w:rFonts w:ascii="Arial" w:hAnsi="Arial"/>
          <w:b w:val="0"/>
          <w:i/>
          <w:color w:val="222222"/>
          <w:sz w:val="20"/>
        </w:rPr>
        <w:t>Matriz de Alcanzabilidad y Estado de Entrega del Proyecto BúhoPass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592"/>
            <w:shd w:fill="F4F6F9"/>
            <w:tcBorders>
              <w:top w:val="single" w:sz="8" w:space="0" w:color="003366"/>
              <w:left w:val="none"/>
              <w:bottom w:val="single" w:sz="8" w:space="0" w:color="003366"/>
              <w:right w:val="none"/>
            </w:tcBorders>
          </w:tcPr>
          <w:p>
            <w:r/>
            <w:r>
              <w:rPr>
                <w:rFonts w:ascii="Arial" w:hAnsi="Arial"/>
                <w:b/>
                <w:i w:val="0"/>
                <w:color w:val="003366"/>
                <w:sz w:val="19"/>
              </w:rPr>
              <w:t>Componente / Módulo</w:t>
            </w:r>
          </w:p>
        </w:tc>
        <w:tc>
          <w:tcPr>
            <w:tcW w:type="dxa" w:w="2160"/>
            <w:shd w:fill="F4F6F9"/>
            <w:tcBorders>
              <w:top w:val="single" w:sz="8" w:space="0" w:color="003366"/>
              <w:left w:val="none"/>
              <w:bottom w:val="single" w:sz="8" w:space="0" w:color="003366"/>
              <w:right w:val="none"/>
            </w:tcBorders>
          </w:tcPr>
          <w:p>
            <w:r/>
            <w:r>
              <w:rPr>
                <w:rFonts w:ascii="Arial" w:hAnsi="Arial"/>
                <w:b/>
                <w:i w:val="0"/>
                <w:color w:val="003366"/>
                <w:sz w:val="19"/>
              </w:rPr>
              <w:t>Fase de Entrega</w:t>
            </w:r>
          </w:p>
        </w:tc>
        <w:tc>
          <w:tcPr>
            <w:tcW w:type="dxa" w:w="2160"/>
            <w:shd w:fill="F4F6F9"/>
            <w:tcBorders>
              <w:top w:val="single" w:sz="8" w:space="0" w:color="003366"/>
              <w:left w:val="none"/>
              <w:bottom w:val="single" w:sz="8" w:space="0" w:color="003366"/>
              <w:right w:val="none"/>
            </w:tcBorders>
          </w:tcPr>
          <w:p>
            <w:r/>
            <w:r>
              <w:rPr>
                <w:rFonts w:ascii="Arial" w:hAnsi="Arial"/>
                <w:b/>
                <w:i w:val="0"/>
                <w:color w:val="003366"/>
                <w:sz w:val="19"/>
              </w:rPr>
              <w:t>Nivel de Viabilidad</w:t>
            </w:r>
          </w:p>
        </w:tc>
        <w:tc>
          <w:tcPr>
            <w:tcW w:type="dxa" w:w="2448"/>
            <w:shd w:fill="F4F6F9"/>
            <w:tcBorders>
              <w:top w:val="single" w:sz="8" w:space="0" w:color="003366"/>
              <w:left w:val="none"/>
              <w:bottom w:val="single" w:sz="8" w:space="0" w:color="003366"/>
              <w:right w:val="none"/>
            </w:tcBorders>
          </w:tcPr>
          <w:p>
            <w:r/>
            <w:r>
              <w:rPr>
                <w:rFonts w:ascii="Arial" w:hAnsi="Arial"/>
                <w:b/>
                <w:i w:val="0"/>
                <w:color w:val="003366"/>
                <w:sz w:val="19"/>
              </w:rPr>
              <w:t>Estado en el Proyecto</w:t>
            </w:r>
          </w:p>
        </w:tc>
      </w:tr>
      <w:tr>
        <w:trPr>
          <w:cantSplit/>
        </w:trPr>
        <w:tc>
          <w:tcPr>
            <w:tcW w:type="dxa" w:w="25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Reconocimiento Facial OpenCV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MVP (Semestre 2026)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Alta (100% Viable)</w:t>
            </w:r>
          </w:p>
        </w:tc>
        <w:tc>
          <w:tcPr>
            <w:tcW w:type="dxa" w:w="24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Completado y Funcional</w:t>
            </w:r>
          </w:p>
        </w:tc>
      </w:tr>
      <w:tr>
        <w:trPr>
          <w:cantSplit/>
        </w:trPr>
        <w:tc>
          <w:tcPr>
            <w:tcW w:type="dxa" w:w="25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Asistente por Voz 'Carchito'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MVP (Semestre 2026)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Alta (100% Viable)</w:t>
            </w:r>
          </w:p>
        </w:tc>
        <w:tc>
          <w:tcPr>
            <w:tcW w:type="dxa" w:w="24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Completado y Funcional</w:t>
            </w:r>
          </w:p>
        </w:tc>
      </w:tr>
      <w:tr>
        <w:trPr>
          <w:cantSplit/>
        </w:trPr>
        <w:tc>
          <w:tcPr>
            <w:tcW w:type="dxa" w:w="25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Dashboard Móvil &amp; APK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MVP (Semestre 2026)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Alta (100% Viable)</w:t>
            </w:r>
          </w:p>
        </w:tc>
        <w:tc>
          <w:tcPr>
            <w:tcW w:type="dxa" w:w="24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Completado y Funcional</w:t>
            </w:r>
          </w:p>
        </w:tc>
      </w:tr>
      <w:tr>
        <w:trPr>
          <w:cantSplit/>
        </w:trPr>
        <w:tc>
          <w:tcPr>
            <w:tcW w:type="dxa" w:w="25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Contenedor Docker Backend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MVP (Semestre 2026)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Alta (100% Viable)</w:t>
            </w:r>
          </w:p>
        </w:tc>
        <w:tc>
          <w:tcPr>
            <w:tcW w:type="dxa" w:w="244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Completado y Funcional</w:t>
            </w:r>
          </w:p>
        </w:tc>
      </w:tr>
      <w:tr>
        <w:trPr>
          <w:cantSplit/>
        </w:trPr>
        <w:tc>
          <w:tcPr>
            <w:tcW w:type="dxa" w:w="2592"/>
            <w:tcBorders>
              <w:top w:val="none"/>
              <w:left w:val="none"/>
              <w:bottom w:val="single" w:sz="8" w:space="0" w:color="003366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Integración Core Web UPEC</w:t>
            </w:r>
          </w:p>
        </w:tc>
        <w:tc>
          <w:tcPr>
            <w:tcW w:type="dxa" w:w="2160"/>
            <w:tcBorders>
              <w:top w:val="none"/>
              <w:left w:val="none"/>
              <w:bottom w:val="single" w:sz="8" w:space="0" w:color="003366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Versión 2.0 (Futura)</w:t>
            </w:r>
          </w:p>
        </w:tc>
        <w:tc>
          <w:tcPr>
            <w:tcW w:type="dxa" w:w="2160"/>
            <w:tcBorders>
              <w:top w:val="none"/>
              <w:left w:val="none"/>
              <w:bottom w:val="single" w:sz="8" w:space="0" w:color="003366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Media (Requiere TI)</w:t>
            </w:r>
          </w:p>
        </w:tc>
        <w:tc>
          <w:tcPr>
            <w:tcW w:type="dxa" w:w="2448"/>
            <w:tcBorders>
              <w:top w:val="none"/>
              <w:left w:val="none"/>
              <w:bottom w:val="single" w:sz="8" w:space="0" w:color="003366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Planificado para Fase 2</w:t>
            </w:r>
          </w:p>
        </w:tc>
      </w:tr>
    </w:tbl>
    <w:p>
      <w:pPr>
        <w:spacing w:after="120"/>
      </w:pPr>
    </w:p>
    <w:p>
      <w:pPr>
        <w:keepNext/>
        <w:spacing w:before="320" w:after="120"/>
        <w:jc w:val="center"/>
      </w:pPr>
      <w:r>
        <w:rPr>
          <w:rFonts w:ascii="Arial" w:hAnsi="Arial"/>
          <w:b/>
          <w:i w:val="0"/>
          <w:color w:val="003366"/>
          <w:sz w:val="25"/>
        </w:rPr>
        <w:t>4. Estructura de Roles del Equipo según Estándar IEEE (IEEE 3080 / 12207)</w:t>
      </w:r>
    </w:p>
    <w:p>
      <w:pPr>
        <w:spacing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222222"/>
          <w:sz w:val="22"/>
        </w:rPr>
        <w:t>Bajo las directrices de los estándares internacionales de ingeniería de software IEEE 3080 (Gestión de Roles en Proyectos Tecnológicos) e IEEE 12207 (Procesos del Ciclo de Vida del Software), se formalizan los roles y responsabilidades de los cuatro integrantes del equipo:</w:t>
      </w:r>
    </w:p>
    <w:p>
      <w:pPr>
        <w:spacing w:before="160"/>
      </w:pPr>
      <w:r>
        <w:rPr>
          <w:rFonts w:ascii="Arial" w:hAnsi="Arial"/>
          <w:b/>
          <w:i w:val="0"/>
          <w:color w:val="003366"/>
          <w:sz w:val="20"/>
        </w:rPr>
        <w:t>Tabla 3</w:t>
        <w:br/>
      </w:r>
      <w:r>
        <w:rPr>
          <w:rFonts w:ascii="Arial" w:hAnsi="Arial"/>
          <w:b w:val="0"/>
          <w:i/>
          <w:color w:val="222222"/>
          <w:sz w:val="20"/>
        </w:rPr>
        <w:t>Asignación Formal de Roles del Equipo según Estándares IEEE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592"/>
            <w:shd w:fill="F4F6F9"/>
            <w:tcBorders>
              <w:top w:val="single" w:sz="8" w:space="0" w:color="003366"/>
              <w:left w:val="none"/>
              <w:bottom w:val="single" w:sz="8" w:space="0" w:color="003366"/>
              <w:right w:val="none"/>
            </w:tcBorders>
          </w:tcPr>
          <w:p>
            <w:r/>
            <w:r>
              <w:rPr>
                <w:rFonts w:ascii="Arial" w:hAnsi="Arial"/>
                <w:b/>
                <w:i w:val="0"/>
                <w:color w:val="003366"/>
                <w:sz w:val="19"/>
              </w:rPr>
              <w:t>Integrante</w:t>
            </w:r>
          </w:p>
        </w:tc>
        <w:tc>
          <w:tcPr>
            <w:tcW w:type="dxa" w:w="3168"/>
            <w:shd w:fill="F4F6F9"/>
            <w:tcBorders>
              <w:top w:val="single" w:sz="8" w:space="0" w:color="003366"/>
              <w:left w:val="none"/>
              <w:bottom w:val="single" w:sz="8" w:space="0" w:color="003366"/>
              <w:right w:val="none"/>
            </w:tcBorders>
          </w:tcPr>
          <w:p>
            <w:r/>
            <w:r>
              <w:rPr>
                <w:rFonts w:ascii="Arial" w:hAnsi="Arial"/>
                <w:b/>
                <w:i w:val="0"/>
                <w:color w:val="003366"/>
                <w:sz w:val="19"/>
              </w:rPr>
              <w:t>Rol Formal IEEE / Cargo</w:t>
            </w:r>
          </w:p>
        </w:tc>
        <w:tc>
          <w:tcPr>
            <w:tcW w:type="dxa" w:w="3600"/>
            <w:shd w:fill="F4F6F9"/>
            <w:tcBorders>
              <w:top w:val="single" w:sz="8" w:space="0" w:color="003366"/>
              <w:left w:val="none"/>
              <w:bottom w:val="single" w:sz="8" w:space="0" w:color="003366"/>
              <w:right w:val="none"/>
            </w:tcBorders>
          </w:tcPr>
          <w:p>
            <w:r/>
            <w:r>
              <w:rPr>
                <w:rFonts w:ascii="Arial" w:hAnsi="Arial"/>
                <w:b/>
                <w:i w:val="0"/>
                <w:color w:val="003366"/>
                <w:sz w:val="19"/>
              </w:rPr>
              <w:t>Responsabilidades Específicas</w:t>
            </w:r>
          </w:p>
        </w:tc>
      </w:tr>
      <w:tr>
        <w:trPr>
          <w:cantSplit/>
        </w:trPr>
        <w:tc>
          <w:tcPr>
            <w:tcW w:type="dxa" w:w="25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Sebastián Reina</w:t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Project Manager / Product Owner &amp; Lead Mobile Developer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Gestión de hitos y repositorio Git, arquitectura de la app móvil Flutter, diseño UI/UX y generación del APK.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Edelina Cadena</w:t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Backend &amp; Database Architect / QA Lead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Modelado relacional SQLite, desarrollo de endpoints REST en Flask/FastAPI, pruebas unitarias y reportería.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Jordy Lema</w:t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IoT, Hardware &amp; DevOps Engineer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Configuración de cámara y hardware en el aula, contenedorización Docker, orquestación y redes locales.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none"/>
              <w:left w:val="none"/>
              <w:bottom w:val="single" w:sz="8" w:space="0" w:color="003366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Melisa Ponce</w:t>
            </w:r>
          </w:p>
        </w:tc>
        <w:tc>
          <w:tcPr>
            <w:tcW w:type="dxa" w:w="3168"/>
            <w:tcBorders>
              <w:top w:val="none"/>
              <w:left w:val="none"/>
              <w:bottom w:val="single" w:sz="8" w:space="0" w:color="003366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Computer Vision &amp; AI Research Engineer</w:t>
            </w:r>
          </w:p>
        </w:tc>
        <w:tc>
          <w:tcPr>
            <w:tcW w:type="dxa" w:w="3600"/>
            <w:tcBorders>
              <w:top w:val="none"/>
              <w:left w:val="none"/>
              <w:bottom w:val="single" w:sz="8" w:space="0" w:color="003366"/>
              <w:right w:val="none"/>
            </w:tcBorders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Calibración de algoritmos de detección facial con OpenCV, preprocesamiento de imágenes y dataset biométrico.</w:t>
            </w:r>
          </w:p>
        </w:tc>
      </w:tr>
    </w:tbl>
    <w:p>
      <w:pPr>
        <w:spacing w:after="120"/>
      </w:pPr>
    </w:p>
    <w:p>
      <w:pPr>
        <w:keepNext/>
        <w:spacing w:before="320" w:after="120"/>
        <w:jc w:val="center"/>
      </w:pPr>
      <w:r>
        <w:rPr>
          <w:rFonts w:ascii="Arial" w:hAnsi="Arial"/>
          <w:b/>
          <w:i w:val="0"/>
          <w:color w:val="003366"/>
          <w:sz w:val="25"/>
        </w:rPr>
        <w:t>5. Diagramas de Proceso y Arquitectura del Sistema</w:t>
      </w:r>
    </w:p>
    <w:p>
      <w:pPr>
        <w:keepNext/>
        <w:spacing w:before="24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5.1 Diagrama de Proceso de Registro de Asistencia en el Aula</w:t>
      </w:r>
    </w:p>
    <w:p>
      <w:pPr>
        <w:spacing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222222"/>
          <w:sz w:val="22"/>
        </w:rPr>
        <w:t>El flujo operacional sigue una secuencia estructurada: 1) El docente ingresa al aula y activa el sistema con la orden verbal 'Hola Carchito, toma asistencia'; 2) Carchito responde por síntesis de voz y activa la cámara; 3) Los estudiantes se posicionan frente al lente; 4) El motor de visión detecta el rostro y busca coincidencias en el dataset; 5) Si hay coincidencia, guarda 'Presente' con la hora en SQLite; 6) La app móvil del docente se actualiza en tiempo real.</w:t>
      </w:r>
    </w:p>
    <w:p>
      <w:pPr>
        <w:keepNext/>
        <w:spacing w:before="24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5.2 Diagrama de Arquitectura Tecnológica y Despliegue Docker</w:t>
      </w:r>
    </w:p>
    <w:p>
      <w:pPr>
        <w:spacing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222222"/>
          <w:sz w:val="22"/>
        </w:rPr>
        <w:t>La arquitectura se compone de: a) Capa de Hardware y Captura (Cámara Web / ESP32-CAM); b) Capa de Servicios Contenedorizados en Docker (Servidor API Flask/FastAPI, OpenCV y SQLite en el puerto 5000); y c) Capa de Cliente Móvil (App Android BúhoPass APK y Dashboard Web).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