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5BA8"/>
          <w:sz w:val="20"/>
          <w:szCs w:val="20"/>
        </w:rPr>
        <w:t xml:space="preserve">TALLER · MÉTRICAS DE SOFTWARE</w:t>
      </w:r>
    </w:p>
    <w:p>
      <w:pPr>
        <w:spacing w:after="60"/>
      </w:pPr>
      <w:r>
        <w:rPr>
          <w:rFonts w:ascii="Calibri" w:cs="Calibri" w:eastAsia="Calibri" w:hAnsi="Calibri"/>
          <w:b/>
          <w:bCs/>
          <w:color w:val="5B3F8C"/>
          <w:sz w:val="48"/>
          <w:szCs w:val="48"/>
        </w:rPr>
        <w:t xml:space="preserve">Evaluación objetiva de LogiTrack</w:t>
      </w:r>
    </w:p>
    <w:p>
      <w:pPr>
        <w:pBdr>
          <w:bottom w:val="single" w:color="5B3F8C" w:sz="8" w:space="6"/>
        </w:pBdr>
        <w:spacing w:after="200"/>
      </w:pPr>
      <w:r>
        <w:rPr>
          <w:rFonts w:ascii="Calibri" w:cs="Calibri" w:eastAsia="Calibri" w:hAnsi="Calibri"/>
          <w:color w:val="444444"/>
          <w:sz w:val="24"/>
          <w:szCs w:val="24"/>
        </w:rPr>
        <w:t xml:space="preserve">Prueba piloto de CaribeLog S.A.S. · ¿Está LogiTrack listo para producción?</w:t>
      </w:r>
    </w:p>
    <w:p>
      <w:pPr>
        <w:spacing w:after="120" w:line="276"/>
      </w:pPr>
      <w:r>
        <w:rPr>
          <w:rFonts w:ascii="Calibri" w:cs="Calibri" w:eastAsia="Calibri" w:hAnsi="Calibri"/>
          <w:b/>
          <w:bCs/>
        </w:rPr>
        <w:t xml:space="preserve">Dictamen: NO se recomienda liberar LogiTrack a producción en este momento.</w:t>
      </w:r>
      <w:r>
        <w:rPr>
          <w:rFonts w:ascii="Calibri" w:cs="Calibri" w:eastAsia="Calibri" w:hAnsi="Calibri"/>
        </w:rPr>
        <w:t xml:space="preserve"> De los 7 indicadores con referencia, solo 1 cumple (tiempo medio de resolución). Hay 3 defectos críticos abiertos, 24 casos de prueba sin ejecutar y una disponibilidad por debajo de la meta. Se propone una liberación condicionada a criterios de salida medibles (sección 9).</w:t>
      </w:r>
    </w:p>
    <w:p>
      <w:pPr>
        <w:spacing w:after="80"/>
      </w:pPr>
    </w:p>
    <w:p>
      <w:pPr>
        <w:pStyle w:val="Heading1"/>
      </w:pPr>
      <w:r>
        <w:rPr>
          <w:rFonts w:ascii="Calibri" w:cs="Calibri" w:eastAsia="Calibri" w:hAnsi="Calibri"/>
        </w:rPr>
        <w:t xml:space="preserve">1. Contexto y pregunta guía</w:t>
      </w:r>
    </w:p>
    <w:p>
      <w:pPr>
        <w:spacing w:after="120" w:line="276"/>
      </w:pPr>
      <w:r>
        <w:rPr>
          <w:rFonts w:ascii="Calibri" w:cs="Calibri" w:eastAsia="Calibri" w:hAnsi="Calibri"/>
        </w:rPr>
        <w:t xml:space="preserve">CaribeLog S.A.S. desarrolló LogiTrack (clientes, órdenes de despacho, asignación de vehículos, seguimiento de entregas, novedades y reportes). La gerencia siente que el sistema está cerca de salir, pero calidad reporta defectos y pruebas pendientes. Como en el caso de MediTurno, hay </w:t>
      </w:r>
      <w:r>
        <w:rPr>
          <w:rFonts w:ascii="Calibri" w:cs="Calibri" w:eastAsia="Calibri" w:hAnsi="Calibri"/>
          <w:b/>
          <w:bCs/>
        </w:rPr>
        <w:t xml:space="preserve">datos pero no un sistema organizado de métricas</w:t>
      </w:r>
      <w:r>
        <w:rPr>
          <w:rFonts w:ascii="Calibri" w:cs="Calibri" w:eastAsia="Calibri" w:hAnsi="Calibri"/>
        </w:rPr>
        <w:t xml:space="preserve">; por eso la pregunta es:</w:t>
      </w:r>
    </w:p>
    <w:p>
      <w:pPr>
        <w:spacing w:after="120" w:line="276"/>
      </w:pPr>
      <w:r>
        <w:rPr>
          <w:rFonts w:ascii="Calibri" w:cs="Calibri" w:eastAsia="Calibri" w:hAnsi="Calibri"/>
          <w:b/>
          <w:bCs/>
        </w:rPr>
        <w:t xml:space="preserve">¿Qué está ocurriendo realmente en LogiTrack y qué decisiones permite justificar la evidencia?</w:t>
      </w:r>
    </w:p>
    <w:p>
      <w:pPr>
        <w:pStyle w:val="Heading1"/>
      </w:pPr>
      <w:r>
        <w:rPr>
          <w:rFonts w:ascii="Calibri" w:cs="Calibri" w:eastAsia="Calibri" w:hAnsi="Calibri"/>
        </w:rPr>
        <w:t xml:space="preserve">2. Paso 1 · Qué queremos medir</w:t>
      </w:r>
    </w:p>
    <w:p>
      <w:pPr>
        <w:spacing w:after="120" w:line="276"/>
      </w:pPr>
      <w:r>
        <w:rPr>
          <w:rFonts w:ascii="Calibri" w:cs="Calibri" w:eastAsia="Calibri" w:hAnsi="Calibri"/>
        </w:rPr>
        <w:t xml:space="preserve">Primero se formulan las preguntas y luego se eligen las métricas (para no “medir por medir”). Cada dimensión se mantiene separada para no mezclar fenómenos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Dimensión</w:t>
            </w:r>
          </w:p>
        </w:tc>
        <w:tc>
          <w:tcPr>
            <w:tcW w:type="dxa" w:w="35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Pregunta</w:t>
            </w:r>
          </w:p>
        </w:tc>
        <w:tc>
          <w:tcPr>
            <w:tcW w:type="dxa" w:w="436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Métricas seleccionadas</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Producto</w:t>
            </w:r>
          </w:p>
        </w:tc>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¿Qué nivel de calidad tiene LogiTrack?</w:t>
            </w:r>
          </w:p>
        </w:tc>
        <w:tc>
          <w:tcPr>
            <w:tcW w:type="dxa" w:w="43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Defectos, densidad y distribución de defectos, defectos críticos abiertos, aprobación de pruebas, disponibilidad</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Proceso</w:t>
            </w:r>
          </w:p>
        </w:tc>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¿Qué tan eficiente es la corrección?</w:t>
            </w:r>
          </w:p>
        </w:tc>
        <w:tc>
          <w:tcPr>
            <w:tcW w:type="dxa" w:w="43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Defectos corregidos (%), defectos abiertos, tiempo medio de resolución (TMR)</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Proyecto</w:t>
            </w:r>
          </w:p>
        </w:tc>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¿Qué porcentaje de lo planificado está implementado y verificado?</w:t>
            </w:r>
          </w:p>
        </w:tc>
        <w:tc>
          <w:tcPr>
            <w:tcW w:type="dxa" w:w="43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Requisitos implementados (%), cobertura de ejecución de pruebas</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Recursos</w:t>
            </w:r>
          </w:p>
        </w:tc>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¿Qué esfuerzo requiere el desarrollo?</w:t>
            </w:r>
          </w:p>
        </w:tc>
        <w:tc>
          <w:tcPr>
            <w:tcW w:type="dxa" w:w="43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Horas empleadas, esfuerzo por requisito implementado</w:t>
            </w:r>
          </w:p>
        </w:tc>
      </w:tr>
    </w:tbl>
    <w:p>
      <w:pPr>
        <w:spacing w:after="80"/>
      </w:pPr>
    </w:p>
    <w:p>
      <w:pPr>
        <w:pStyle w:val="Heading1"/>
      </w:pPr>
      <w:r>
        <w:rPr>
          <w:rFonts w:ascii="Calibri" w:cs="Calibri" w:eastAsia="Calibri" w:hAnsi="Calibri"/>
        </w:rPr>
        <w:t xml:space="preserve">3. Paso 2 · Medida → métrica → indicador → decisión</w:t>
      </w:r>
    </w:p>
    <w:p>
      <w:pPr>
        <w:spacing w:after="120" w:line="276"/>
      </w:pPr>
      <w:r>
        <w:rPr>
          <w:rFonts w:ascii="Calibri" w:cs="Calibri" w:eastAsia="Calibri" w:hAnsi="Calibri"/>
        </w:rPr>
        <w:t xml:space="preserve">Un dato aislado no sirve para decidir. Se vuelve útil al relacionarlo, compararlo con una referencia e interpretarlo. Ejemplo con los defectos y con la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00"/>
        <w:gridCol w:w="2660"/>
      </w:tblGrid>
      <w:tr>
        <w:trPr>
          <w:tblHeader/>
        </w:trPr>
        <w:tc>
          <w:tcPr>
            <w:tcW w:type="dxa" w:w="17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tc>
        <w:tc>
          <w:tcPr>
            <w:tcW w:type="dxa" w:w="25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Defectos</w:t>
            </w:r>
          </w:p>
        </w:tc>
        <w:tc>
          <w:tcPr>
            <w:tcW w:type="dxa" w:w="25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Pruebas aprobadas</w:t>
            </w:r>
          </w:p>
        </w:tc>
        <w:tc>
          <w:tcPr>
            <w:tcW w:type="dxa" w:w="266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Disponibilidad</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Medida</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50 defectos</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189 casos aprobados</w:t>
            </w:r>
          </w:p>
        </w:tc>
        <w:tc>
          <w:tcPr>
            <w:tcW w:type="dxa" w:w="26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98,9 %</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Métrica</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50 / 10 módulos = 5 defectos/módulo</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189 / 216 ejecutados = 87,5 %</w:t>
            </w:r>
          </w:p>
        </w:tc>
        <w:tc>
          <w:tcPr>
            <w:tcW w:type="dxa" w:w="26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Porcentaje de tiempo operativo</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Indicador</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Concentración: 3 módulos reúnen el 54 %</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87,5 % frente a meta ≥ 92 % → incumple</w:t>
            </w:r>
          </w:p>
        </w:tc>
        <w:tc>
          <w:tcPr>
            <w:tcW w:type="dxa" w:w="26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98,9 % frente a ≥ 99,2 % → incumple</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Decisión</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Reforzar revisión y pruebas en los módulos concentrados</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Analizar los 27 casos fallidos y re-probar</w:t>
            </w:r>
          </w:p>
        </w:tc>
        <w:tc>
          <w:tcPr>
            <w:tcW w:type="dxa" w:w="26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Investigar causas de indisponibilidad</w:t>
            </w:r>
          </w:p>
        </w:tc>
      </w:tr>
    </w:tbl>
    <w:p>
      <w:pPr>
        <w:spacing w:after="80"/>
      </w:pPr>
    </w:p>
    <w:p>
      <w:pPr>
        <w:pStyle w:val="Heading1"/>
      </w:pPr>
      <w:r>
        <w:rPr>
          <w:rFonts w:ascii="Calibri" w:cs="Calibri" w:eastAsia="Calibri" w:hAnsi="Calibri"/>
        </w:rPr>
        <w:t xml:space="preserve">4. Paso 3 · Cálculo de las métricas</w:t>
      </w:r>
    </w:p>
    <w:p>
      <w:pPr>
        <w:spacing w:after="120" w:line="276"/>
      </w:pPr>
      <w:r>
        <w:rPr>
          <w:rFonts w:ascii="Calibri" w:cs="Calibri" w:eastAsia="Calibri" w:hAnsi="Calibri"/>
        </w:rPr>
        <w:t xml:space="preserve">Todas las fórmulas usan únicamente los datos del enunciado. Cada resultado se compara con la referencia fijada por CaribeLog para el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50"/>
        <w:gridCol w:w="1300"/>
        <w:gridCol w:w="1300"/>
        <w:gridCol w:w="2010"/>
      </w:tblGrid>
      <w:tr>
        <w:trPr>
          <w:tblHeader/>
        </w:trPr>
        <w:tc>
          <w:tcPr>
            <w:tcW w:type="dxa" w:w="21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Métrica</w:t>
            </w:r>
          </w:p>
        </w:tc>
        <w:tc>
          <w:tcPr>
            <w:tcW w:type="dxa" w:w="265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Cálculo</w:t>
            </w:r>
          </w:p>
        </w:tc>
        <w:tc>
          <w:tcPr>
            <w:tcW w:type="dxa" w:w="13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Resultado</w:t>
            </w:r>
          </w:p>
        </w:tc>
        <w:tc>
          <w:tcPr>
            <w:tcW w:type="dxa" w:w="13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Referencia</w:t>
            </w:r>
          </w:p>
        </w:tc>
        <w:tc>
          <w:tcPr>
            <w:tcW w:type="dxa" w:w="201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Brecha</w:t>
            </w:r>
          </w:p>
        </w:tc>
      </w:tr>
      <w:tr>
        <w:trPr>
          <w:cantSplit/>
        </w:trP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Requisitos implementados</w:t>
            </w:r>
          </w:p>
        </w:tc>
        <w:tc>
          <w:tcPr>
            <w:tcW w:type="dxa" w:w="265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132 / 150 × 100</w:t>
            </w:r>
          </w:p>
        </w:tc>
        <w:tc>
          <w:tcPr>
            <w:tcW w:type="dxa" w:w="130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88,0 %</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90 %</w:t>
            </w:r>
          </w:p>
        </w:tc>
        <w:tc>
          <w:tcPr>
            <w:tcW w:type="dxa" w:w="201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−2,0 pp (faltan 18 requisitos; con 135 se cumpliría)</w:t>
            </w:r>
          </w:p>
        </w:tc>
      </w:tr>
      <w:tr>
        <w:trPr>
          <w:cantSplit/>
        </w:trP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Ejecución de pruebas</w:t>
            </w:r>
          </w:p>
        </w:tc>
        <w:tc>
          <w:tcPr>
            <w:tcW w:type="dxa" w:w="265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216 / 240 × 100</w:t>
            </w:r>
          </w:p>
        </w:tc>
        <w:tc>
          <w:tcPr>
            <w:tcW w:type="dxa" w:w="130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90,0 %</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95 %</w:t>
            </w:r>
          </w:p>
        </w:tc>
        <w:tc>
          <w:tcPr>
            <w:tcW w:type="dxa" w:w="201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−5,0 pp (24 casos pendientes; hacen falta 12 más para llegar a 228)</w:t>
            </w:r>
          </w:p>
        </w:tc>
      </w:tr>
      <w:tr>
        <w:trPr>
          <w:cantSplit/>
        </w:trP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Aprobación de pruebas ejecutadas</w:t>
            </w:r>
          </w:p>
        </w:tc>
        <w:tc>
          <w:tcPr>
            <w:tcW w:type="dxa" w:w="265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189 / 216 × 100</w:t>
            </w:r>
          </w:p>
        </w:tc>
        <w:tc>
          <w:tcPr>
            <w:tcW w:type="dxa" w:w="130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87,5 %</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92 %</w:t>
            </w:r>
          </w:p>
        </w:tc>
        <w:tc>
          <w:tcPr>
            <w:tcW w:type="dxa" w:w="201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−4,5 pp (27 casos no aprobados; se necesitan 199 aprobados)</w:t>
            </w:r>
          </w:p>
        </w:tc>
      </w:tr>
      <w:tr>
        <w:trPr>
          <w:cantSplit/>
        </w:trP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Defectos corregidos</w:t>
            </w:r>
          </w:p>
        </w:tc>
        <w:tc>
          <w:tcPr>
            <w:tcW w:type="dxa" w:w="265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40 / 50 × 100</w:t>
            </w:r>
          </w:p>
        </w:tc>
        <w:tc>
          <w:tcPr>
            <w:tcW w:type="dxa" w:w="130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80,0 %</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90 %</w:t>
            </w:r>
          </w:p>
        </w:tc>
        <w:tc>
          <w:tcPr>
            <w:tcW w:type="dxa" w:w="201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−10,0 pp (se requieren 5 correcciones más: 45 de 50)</w:t>
            </w:r>
          </w:p>
        </w:tc>
      </w:tr>
      <w:tr>
        <w:trPr>
          <w:cantSplit/>
        </w:trP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Defectos críticos abiertos</w:t>
            </w:r>
          </w:p>
        </w:tc>
        <w:tc>
          <w:tcPr>
            <w:tcW w:type="dxa" w:w="265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Dato directo</w:t>
            </w:r>
          </w:p>
        </w:tc>
        <w:tc>
          <w:tcPr>
            <w:tcW w:type="dxa" w:w="130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3</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w:t>
            </w:r>
          </w:p>
        </w:tc>
        <w:tc>
          <w:tcPr>
            <w:tcW w:type="dxa" w:w="201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 (30 % de los 10 abiertos son críticos)</w:t>
            </w:r>
          </w:p>
        </w:tc>
      </w:tr>
      <w:tr>
        <w:trPr>
          <w:cantSplit/>
        </w:trP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Tiempo medio de resolución (TMR)</w:t>
            </w:r>
          </w:p>
        </w:tc>
        <w:tc>
          <w:tcPr>
            <w:tcW w:type="dxa" w:w="265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240 h / 40 incidencias</w:t>
            </w:r>
          </w:p>
        </w:tc>
        <w:tc>
          <w:tcPr>
            <w:tcW w:type="dxa" w:w="1300"/>
            <w:tcBorders>
              <w:top w:val="single" w:color="B8C2CC" w:sz="4"/>
              <w:left w:val="single" w:color="B8C2CC" w:sz="4"/>
              <w:bottom w:val="single" w:color="B8C2CC" w:sz="4"/>
              <w:right w:val="single" w:color="B8C2CC" w:sz="4"/>
            </w:tcBorders>
            <w:shd w:fill="D5ED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6,0 h</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7 h</w:t>
            </w:r>
          </w:p>
        </w:tc>
        <w:tc>
          <w:tcPr>
            <w:tcW w:type="dxa" w:w="201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Cumple, con 1 h (≈14 %) de margen</w:t>
            </w:r>
          </w:p>
        </w:tc>
      </w:tr>
      <w:tr>
        <w:trPr>
          <w:cantSplit/>
        </w:trP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Disponibilidad</w:t>
            </w:r>
          </w:p>
        </w:tc>
        <w:tc>
          <w:tcPr>
            <w:tcW w:type="dxa" w:w="265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Dato directo</w:t>
            </w:r>
          </w:p>
        </w:tc>
        <w:tc>
          <w:tcPr>
            <w:tcW w:type="dxa" w:w="130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98,9 %</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99,2 %</w:t>
            </w:r>
          </w:p>
        </w:tc>
        <w:tc>
          <w:tcPr>
            <w:tcW w:type="dxa" w:w="201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−0,3 pp</w:t>
            </w:r>
          </w:p>
        </w:tc>
      </w:tr>
    </w:tbl>
    <w:p>
      <w:pPr>
        <w:spacing w:after="140" w:before="60"/>
      </w:pPr>
      <w:r>
        <w:rPr>
          <w:rFonts w:ascii="Calibri" w:cs="Calibri" w:eastAsia="Calibri" w:hAnsi="Calibri"/>
          <w:i/>
          <w:iCs/>
          <w:color w:val="555555"/>
          <w:sz w:val="18"/>
          <w:szCs w:val="18"/>
        </w:rPr>
        <w:t xml:space="preserve">pp = puntos porcentuales. Los datos mantienen la unidad de cada fila, incluida la referencia.</w:t>
      </w:r>
    </w:p>
    <w:p>
      <w:pPr>
        <w:pStyle w:val="Heading2"/>
      </w:pPr>
      <w:r>
        <w:rPr>
          <w:rFonts w:ascii="Calibri" w:cs="Calibri" w:eastAsia="Calibri" w:hAnsi="Calibri"/>
        </w:rPr>
        <w:t xml:space="preserve">Métricas complementarias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1500"/>
        <w:gridCol w:w="2560"/>
      </w:tblGrid>
      <w:tr>
        <w:trPr>
          <w:tblHeader/>
        </w:trPr>
        <w:tc>
          <w:tcPr>
            <w:tcW w:type="dxa" w:w="26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Métrica</w:t>
            </w:r>
          </w:p>
        </w:tc>
        <w:tc>
          <w:tcPr>
            <w:tcW w:type="dxa" w:w="27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Cálculo</w:t>
            </w:r>
          </w:p>
        </w:tc>
        <w:tc>
          <w:tcPr>
            <w:tcW w:type="dxa" w:w="15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Resultado</w:t>
            </w:r>
          </w:p>
        </w:tc>
        <w:tc>
          <w:tcPr>
            <w:tcW w:type="dxa" w:w="256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Lectura</w:t>
            </w:r>
          </w:p>
        </w:tc>
      </w:tr>
      <w:tr>
        <w:trPr>
          <w:cantSplit/>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Densidad de defectos</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50 / 10 módulos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 def./módulo</w:t>
            </w:r>
          </w:p>
        </w:tc>
        <w:tc>
          <w:tcPr>
            <w:tcW w:type="dxa" w:w="25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Promedio; no dice dónde está el problema (sección 5)</w:t>
            </w:r>
          </w:p>
        </w:tc>
      </w:tr>
      <w:tr>
        <w:trPr>
          <w:cantSplit/>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Defectos abiertos (%)</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10 / 50 × 100</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20 %</w:t>
            </w:r>
          </w:p>
        </w:tc>
        <w:tc>
          <w:tcPr>
            <w:tcW w:type="dxa" w:w="25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Complemento del 80 % corregido</w:t>
            </w:r>
          </w:p>
        </w:tc>
      </w:tr>
      <w:tr>
        <w:trPr>
          <w:cantSplit/>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Defectos por 100 requisitos implementados</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50 / 132 × 100</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37,9</w:t>
            </w:r>
          </w:p>
        </w:tc>
        <w:tc>
          <w:tcPr>
            <w:tcW w:type="dxa" w:w="25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Referencia para comparar con otros proyectos o ciclos</w:t>
            </w:r>
          </w:p>
        </w:tc>
      </w:tr>
      <w:tr>
        <w:trPr>
          <w:cantSplit/>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Casos aprobados sobre lo diseñado</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189 / 240 × 100</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78,8 %</w:t>
            </w:r>
          </w:p>
        </w:tc>
        <w:tc>
          <w:tcPr>
            <w:tcW w:type="dxa" w:w="25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Solo 4 de cada 5 casos diseñados están verificados como correctos</w:t>
            </w:r>
          </w:p>
        </w:tc>
      </w:tr>
      <w:tr>
        <w:trPr>
          <w:cantSplit/>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Esfuerzo por requisito</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1.320 h / 132 requisitos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10 h/req.</w:t>
            </w:r>
          </w:p>
        </w:tc>
        <w:tc>
          <w:tcPr>
            <w:tcW w:type="dxa" w:w="25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Promedio de contexto; los requisitos tienen complejidades distintas</w:t>
            </w:r>
          </w:p>
        </w:tc>
      </w:tr>
      <w:tr>
        <w:trPr>
          <w:cantSplit/>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Avance por horas (estimación)</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1.320 h / 132 × 18 pendientes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180 h</w:t>
            </w:r>
          </w:p>
        </w:tc>
        <w:tc>
          <w:tcPr>
            <w:tcW w:type="dxa" w:w="25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Horas aproximadas para los 18 requisitos faltantes, si mantienen el esfuerzo promedio</w:t>
            </w:r>
          </w:p>
        </w:tc>
      </w:tr>
    </w:tbl>
    <w:p>
      <w:pPr>
        <w:spacing w:after="140" w:before="60"/>
      </w:pPr>
      <w:r>
        <w:rPr>
          <w:rFonts w:ascii="Calibri" w:cs="Calibri" w:eastAsia="Calibri" w:hAnsi="Calibri"/>
          <w:i/>
          <w:iCs/>
          <w:color w:val="555555"/>
          <w:sz w:val="18"/>
          <w:szCs w:val="18"/>
        </w:rPr>
        <w:t xml:space="preserve">La estimación de 180 h es solo orientativa: supone que los requisitos restantes cuestan igual que los ya hechos y no incluye corrección de defectos ni pruebas.</w:t>
      </w:r>
    </w:p>
    <w:p>
      <w:pPr>
        <w:pStyle w:val="Heading1"/>
      </w:pPr>
      <w:r>
        <w:rPr>
          <w:rFonts w:ascii="Calibri" w:cs="Calibri" w:eastAsia="Calibri" w:hAnsi="Calibri"/>
        </w:rPr>
        <w:t xml:space="preserve">5. Paso 4 · Distribución de defectos</w:t>
      </w:r>
    </w:p>
    <w:p>
      <w:pPr>
        <w:spacing w:after="120" w:line="276"/>
      </w:pPr>
      <w:r>
        <w:rPr>
          <w:rFonts w:ascii="Calibri" w:cs="Calibri" w:eastAsia="Calibri" w:hAnsi="Calibri"/>
        </w:rPr>
        <w:t xml:space="preserve">El promedio de 5 defectos por módulo oculta diferencias grandes: la mitad de los módulos tiene 4 defectos o menos (mediana = 4), mientras que Asignación de rutas duplica el promedio.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3060"/>
      </w:tblGrid>
      <w:tr>
        <w:trPr>
          <w:tblHeader/>
        </w:trPr>
        <w:tc>
          <w:tcPr>
            <w:tcW w:type="dxa" w:w="30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Módulo</w:t>
            </w:r>
          </w:p>
        </w:tc>
        <w:tc>
          <w:tcPr>
            <w:tcW w:type="dxa" w:w="15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Defectos</w:t>
            </w:r>
          </w:p>
        </w:tc>
        <w:tc>
          <w:tcPr>
            <w:tcW w:type="dxa" w:w="18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 del total</w:t>
            </w:r>
          </w:p>
        </w:tc>
        <w:tc>
          <w:tcPr>
            <w:tcW w:type="dxa" w:w="306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 acumulado</w:t>
            </w:r>
          </w:p>
        </w:tc>
      </w:tr>
      <w:tr>
        <w:trPr>
          <w:cantSplit/>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Asignación de rutas</w:t>
            </w:r>
          </w:p>
        </w:tc>
        <w:tc>
          <w:tcPr>
            <w:tcW w:type="dxa" w:w="150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10</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20 %</w:t>
            </w:r>
          </w:p>
        </w:tc>
        <w:tc>
          <w:tcPr>
            <w:tcW w:type="dxa" w:w="3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20 %</w:t>
            </w:r>
          </w:p>
        </w:tc>
      </w:tr>
      <w:tr>
        <w:trPr>
          <w:cantSplit/>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Órdenes</w:t>
            </w:r>
          </w:p>
        </w:tc>
        <w:tc>
          <w:tcPr>
            <w:tcW w:type="dxa" w:w="150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9</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18 %</w:t>
            </w:r>
          </w:p>
        </w:tc>
        <w:tc>
          <w:tcPr>
            <w:tcW w:type="dxa" w:w="3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38 %</w:t>
            </w:r>
          </w:p>
        </w:tc>
      </w:tr>
      <w:tr>
        <w:trPr>
          <w:cantSplit/>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Seguimiento</w:t>
            </w:r>
          </w:p>
        </w:tc>
        <w:tc>
          <w:tcPr>
            <w:tcW w:type="dxa" w:w="150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8</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16 %</w:t>
            </w:r>
          </w:p>
        </w:tc>
        <w:tc>
          <w:tcPr>
            <w:tcW w:type="dxa" w:w="3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54 %</w:t>
            </w:r>
          </w:p>
        </w:tc>
      </w:tr>
      <w:tr>
        <w:trPr>
          <w:cantSplit/>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Entregas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12 %</w:t>
            </w:r>
          </w:p>
        </w:tc>
        <w:tc>
          <w:tcPr>
            <w:tcW w:type="dxa" w:w="3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66 %</w:t>
            </w:r>
          </w:p>
        </w:tc>
      </w:tr>
      <w:tr>
        <w:trPr>
          <w:cantSplit/>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Vehículos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8 %</w:t>
            </w:r>
          </w:p>
        </w:tc>
        <w:tc>
          <w:tcPr>
            <w:tcW w:type="dxa" w:w="3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74 %</w:t>
            </w:r>
          </w:p>
        </w:tc>
      </w:tr>
      <w:tr>
        <w:trPr>
          <w:cantSplit/>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Novedades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8 %</w:t>
            </w:r>
          </w:p>
        </w:tc>
        <w:tc>
          <w:tcPr>
            <w:tcW w:type="dxa" w:w="3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82 %</w:t>
            </w:r>
          </w:p>
        </w:tc>
      </w:tr>
      <w:tr>
        <w:trPr>
          <w:cantSplit/>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Clientes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6 %</w:t>
            </w:r>
          </w:p>
        </w:tc>
        <w:tc>
          <w:tcPr>
            <w:tcW w:type="dxa" w:w="3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88 %</w:t>
            </w:r>
          </w:p>
        </w:tc>
      </w:tr>
      <w:tr>
        <w:trPr>
          <w:cantSplit/>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Notificaciones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4 %</w:t>
            </w:r>
          </w:p>
        </w:tc>
        <w:tc>
          <w:tcPr>
            <w:tcW w:type="dxa" w:w="3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92 %</w:t>
            </w:r>
          </w:p>
        </w:tc>
      </w:tr>
      <w:tr>
        <w:trPr>
          <w:cantSplit/>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Reportes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4 %</w:t>
            </w:r>
          </w:p>
        </w:tc>
        <w:tc>
          <w:tcPr>
            <w:tcW w:type="dxa" w:w="3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96 %</w:t>
            </w:r>
          </w:p>
        </w:tc>
      </w:tr>
      <w:tr>
        <w:trPr>
          <w:cantSplit/>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Seguridad</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4 %</w:t>
            </w:r>
          </w:p>
        </w:tc>
        <w:tc>
          <w:tcPr>
            <w:tcW w:type="dxa" w:w="3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100 %</w:t>
            </w:r>
          </w:p>
        </w:tc>
      </w:tr>
      <w:tr>
        <w:trPr>
          <w:cantSplit/>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Total</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50</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100 %</w:t>
            </w:r>
          </w:p>
        </w:tc>
        <w:tc>
          <w:tcPr>
            <w:tcW w:type="dxa" w:w="3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p>
        </w:tc>
      </w:tr>
    </w:tbl>
    <w:p>
      <w:pPr>
        <w:spacing w:after="80"/>
      </w:pPr>
    </w:p>
    <w:p>
      <w:pPr>
        <w:spacing w:after="60"/>
        <w:jc w:val="center"/>
      </w:pPr>
      <w:r>
        <w:drawing>
          <wp:inline distT="0" distB="0" distL="0" distR="0">
            <wp:extent cx="5334000" cy="2886075"/>
            <wp:effectExtent t="0" r="0" b="0" l="0"/>
            <wp:docPr id="1" name="grafico" descr="Barras horizontales de defectos por módulo con promedio de 5" title="Defectos por mód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86075"/>
                    </a:xfrm>
                    <a:prstGeom prst="rect">
                      <a:avLst/>
                    </a:prstGeom>
                  </pic:spPr>
                </pic:pic>
              </a:graphicData>
            </a:graphic>
          </wp:inline>
        </w:drawing>
      </w:r>
    </w:p>
    <w:p>
      <w:pPr>
        <w:spacing w:after="120" w:line="276"/>
      </w:pPr>
      <w:r>
        <w:rPr>
          <w:rFonts w:ascii="Calibri" w:cs="Calibri" w:eastAsia="Calibri" w:hAnsi="Calibri"/>
          <w:b/>
          <w:bCs/>
        </w:rPr>
        <w:t xml:space="preserve">Hallazgo:</w:t>
      </w:r>
      <w:r>
        <w:rPr>
          <w:rFonts w:ascii="Calibri" w:cs="Calibri" w:eastAsia="Calibri" w:hAnsi="Calibri"/>
        </w:rPr>
        <w:t xml:space="preserve"> Asignación de rutas, Órdenes y Seguimiento (30 % de los módulos) concentran </w:t>
      </w:r>
      <w:r>
        <w:rPr>
          <w:rFonts w:ascii="Calibri" w:cs="Calibri" w:eastAsia="Calibri" w:hAnsi="Calibri"/>
          <w:b/>
          <w:bCs/>
        </w:rPr>
        <w:t xml:space="preserve">27 de 50 defectos (54 %)</w:t>
      </w:r>
      <w:r>
        <w:rPr>
          <w:rFonts w:ascii="Calibri" w:cs="Calibri" w:eastAsia="Calibri" w:hAnsi="Calibri"/>
        </w:rPr>
        <w:t xml:space="preserve">; con Entregas son 4 módulos y el 66 %. Son además el núcleo operativo de LogiTrack (crear la orden, asignar ruta y seguir la entrega), así que su riesgo afecta directamente el valor del producto.</w:t>
      </w:r>
    </w:p>
    <w:p>
      <w:pPr>
        <w:spacing w:after="120" w:line="276"/>
      </w:pPr>
      <w:r>
        <w:rPr>
          <w:rFonts w:ascii="Calibri" w:cs="Calibri" w:eastAsia="Calibri" w:hAnsi="Calibri"/>
          <w:b/>
          <w:bCs/>
        </w:rPr>
        <w:t xml:space="preserve">Alerta de datos:</w:t>
      </w:r>
      <w:r>
        <w:rPr>
          <w:rFonts w:ascii="Calibri" w:cs="Calibri" w:eastAsia="Calibri" w:hAnsi="Calibri"/>
        </w:rPr>
        <w:t xml:space="preserve"> Seguridad tiene solo 2 defectos, pero la distribución no indica la severidad ni el módulo de los 3 críticos abiertos. Un defecto de seguridad crítico pesa más que varios menores; esa información debe consultarse antes de decidir.</w:t>
      </w:r>
    </w:p>
    <w:p>
      <w:pPr>
        <w:pStyle w:val="Heading1"/>
      </w:pPr>
      <w:r>
        <w:rPr>
          <w:rFonts w:ascii="Calibri" w:cs="Calibri" w:eastAsia="Calibri" w:hAnsi="Calibri"/>
        </w:rPr>
        <w:t xml:space="preserve">6. Paso 5 · Tablero de indicadores</w:t>
      </w:r>
    </w:p>
    <w:p>
      <w:pPr>
        <w:spacing w:after="120" w:line="276"/>
      </w:pPr>
      <w:r>
        <w:rPr>
          <w:rFonts w:ascii="Calibri" w:cs="Calibri" w:eastAsia="Calibri" w:hAnsi="Calibri"/>
        </w:rPr>
        <w:t xml:space="preserve">El tablero integra las métricas para una lectura conjunta (verde = cumple, rojo = no cumple).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700"/>
        <w:gridCol w:w="1300"/>
        <w:gridCol w:w="1960"/>
      </w:tblGrid>
      <w:tr>
        <w:trPr>
          <w:tblHeader/>
        </w:trPr>
        <w:tc>
          <w:tcPr>
            <w:tcW w:type="dxa" w:w="29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Indicador</w:t>
            </w:r>
          </w:p>
        </w:tc>
        <w:tc>
          <w:tcPr>
            <w:tcW w:type="dxa" w:w="15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Dimensión</w:t>
            </w:r>
          </w:p>
        </w:tc>
        <w:tc>
          <w:tcPr>
            <w:tcW w:type="dxa" w:w="17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Resultado</w:t>
            </w:r>
          </w:p>
        </w:tc>
        <w:tc>
          <w:tcPr>
            <w:tcW w:type="dxa" w:w="13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Referencia</w:t>
            </w:r>
          </w:p>
        </w:tc>
        <w:tc>
          <w:tcPr>
            <w:tcW w:type="dxa" w:w="196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Estado</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Requisitos implementados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Proyecto</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88,0 %</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90 %</w:t>
            </w:r>
          </w:p>
        </w:tc>
        <w:tc>
          <w:tcPr>
            <w:tcW w:type="dxa" w:w="196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No cumple</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Ejecución de pruebas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Proyecto / producto</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90,0 %</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95 %</w:t>
            </w:r>
          </w:p>
        </w:tc>
        <w:tc>
          <w:tcPr>
            <w:tcW w:type="dxa" w:w="196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No cumple</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Aprobación de pruebas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Producto</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87,5 %</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92 %</w:t>
            </w:r>
          </w:p>
        </w:tc>
        <w:tc>
          <w:tcPr>
            <w:tcW w:type="dxa" w:w="196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No cumple</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Defectos corregidos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Proceso</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80,0 %</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90 %</w:t>
            </w:r>
          </w:p>
        </w:tc>
        <w:tc>
          <w:tcPr>
            <w:tcW w:type="dxa" w:w="196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No cumple</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Defectos críticos abiertos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Producto</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w:t>
            </w:r>
          </w:p>
        </w:tc>
        <w:tc>
          <w:tcPr>
            <w:tcW w:type="dxa" w:w="196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No cumple</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TMR</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Proceso</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6,0 h</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7 h</w:t>
            </w:r>
          </w:p>
        </w:tc>
        <w:tc>
          <w:tcPr>
            <w:tcW w:type="dxa" w:w="1960"/>
            <w:tcBorders>
              <w:top w:val="single" w:color="B8C2CC" w:sz="4"/>
              <w:left w:val="single" w:color="B8C2CC" w:sz="4"/>
              <w:bottom w:val="single" w:color="B8C2CC" w:sz="4"/>
              <w:right w:val="single" w:color="B8C2CC" w:sz="4"/>
            </w:tcBorders>
            <w:shd w:fill="D5ED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Cumple</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Disponibilidad</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Producto</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98,9 %</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99,2 %</w:t>
            </w:r>
          </w:p>
        </w:tc>
        <w:tc>
          <w:tcPr>
            <w:tcW w:type="dxa" w:w="196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No cumple</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Densidad de defectos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Producto</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 / módulo</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Sin referencia</w:t>
            </w:r>
          </w:p>
        </w:tc>
        <w:tc>
          <w:tcPr>
            <w:tcW w:type="dxa" w:w="19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Contextual</w:t>
            </w:r>
          </w:p>
        </w:tc>
      </w:tr>
    </w:tbl>
    <w:p>
      <w:pPr>
        <w:keepNext w:val="false"/>
        <w:spacing w:after="120" w:line="276"/>
      </w:pPr>
      <w:r>
        <w:rPr>
          <w:rFonts w:ascii="Calibri" w:cs="Calibri" w:eastAsia="Calibri" w:hAnsi="Calibri"/>
          <w:b/>
          <w:bCs/>
        </w:rPr>
        <w:t xml:space="preserve">Resultado: 1 de 7 indicadores cumple.</w:t>
      </w:r>
    </w:p>
    <w:p>
      <w:pPr>
        <w:pStyle w:val="Heading1"/>
      </w:pPr>
      <w:r>
        <w:rPr>
          <w:rFonts w:ascii="Calibri" w:cs="Calibri" w:eastAsia="Calibri" w:hAnsi="Calibri"/>
        </w:rPr>
        <w:t xml:space="preserve">7. Paso 6 · Interpretación: hallazgos</w:t>
      </w:r>
    </w:p>
    <w:p>
      <w:pPr>
        <w:spacing w:after="120" w:line="276"/>
      </w:pPr>
      <w:r>
        <w:rPr>
          <w:rFonts w:ascii="Calibri" w:cs="Calibri" w:eastAsia="Calibri" w:hAnsi="Calibri"/>
        </w:rPr>
        <w:t xml:space="preserve">No basta con decir “hay indicadores buenos y malos”. Los hallazgos concretos son:</w:t>
      </w:r>
    </w:p>
    <w:p>
      <w:pPr>
        <w:pStyle w:val="ListParagraph"/>
        <w:numPr>
          <w:ilvl w:val="0"/>
          <w:numId w:val="2"/>
        </w:numPr>
        <w:spacing w:after="60" w:line="276"/>
      </w:pPr>
      <w:r>
        <w:rPr>
          <w:rFonts w:ascii="Calibri" w:cs="Calibri" w:eastAsia="Calibri" w:hAnsi="Calibri"/>
          <w:b/>
          <w:bCs/>
        </w:rPr>
        <w:t xml:space="preserve">H1 · Avance.</w:t>
      </w:r>
      <w:r>
        <w:rPr>
          <w:rFonts w:ascii="Calibri" w:cs="Calibri" w:eastAsia="Calibri" w:hAnsi="Calibri"/>
        </w:rPr>
        <w:t xml:space="preserve"> 132 de 150 requisitos están implementados (88 %), 2 pp por debajo de la meta. Faltan 18. “Implementado” no significa “terminado”: restan pruebas y corrección.</w:t>
      </w:r>
    </w:p>
    <w:p>
      <w:pPr>
        <w:pStyle w:val="ListParagraph"/>
        <w:numPr>
          <w:ilvl w:val="0"/>
          <w:numId w:val="2"/>
        </w:numPr>
        <w:spacing w:after="60" w:line="276"/>
      </w:pPr>
      <w:r>
        <w:rPr>
          <w:rFonts w:ascii="Calibri" w:cs="Calibri" w:eastAsia="Calibri" w:hAnsi="Calibri"/>
          <w:b/>
          <w:bCs/>
        </w:rPr>
        <w:t xml:space="preserve">H2 · Pruebas.</w:t>
      </w:r>
      <w:r>
        <w:rPr>
          <w:rFonts w:ascii="Calibri" w:cs="Calibri" w:eastAsia="Calibri" w:hAnsi="Calibri"/>
        </w:rPr>
        <w:t xml:space="preserve"> Se ejecutó el 90 % de los casos; quedan </w:t>
      </w:r>
      <w:r>
        <w:rPr>
          <w:rFonts w:ascii="Calibri" w:cs="Calibri" w:eastAsia="Calibri" w:hAnsi="Calibri"/>
          <w:b/>
          <w:bCs/>
        </w:rPr>
        <w:t xml:space="preserve">24 sin ejecutar</w:t>
      </w:r>
      <w:r>
        <w:rPr>
          <w:rFonts w:ascii="Calibri" w:cs="Calibri" w:eastAsia="Calibri" w:hAnsi="Calibri"/>
        </w:rPr>
        <w:t xml:space="preserve">. Esos casos pueden esconder más defectos: si fallaran en la misma proporción que los ejecutados (12,5 %), podrían aparecer unos 3 fallos adicionales (estimación).</w:t>
      </w:r>
    </w:p>
    <w:p>
      <w:pPr>
        <w:pStyle w:val="ListParagraph"/>
        <w:numPr>
          <w:ilvl w:val="0"/>
          <w:numId w:val="2"/>
        </w:numPr>
        <w:spacing w:after="60" w:line="276"/>
      </w:pPr>
      <w:r>
        <w:rPr>
          <w:rFonts w:ascii="Calibri" w:cs="Calibri" w:eastAsia="Calibri" w:hAnsi="Calibri"/>
          <w:b/>
          <w:bCs/>
        </w:rPr>
        <w:t xml:space="preserve">H3 · Calidad de lo probado.</w:t>
      </w:r>
      <w:r>
        <w:rPr>
          <w:rFonts w:ascii="Calibri" w:cs="Calibri" w:eastAsia="Calibri" w:hAnsi="Calibri"/>
        </w:rPr>
        <w:t xml:space="preserve"> Aprobación del 87,5 %: </w:t>
      </w:r>
      <w:r>
        <w:rPr>
          <w:rFonts w:ascii="Calibri" w:cs="Calibri" w:eastAsia="Calibri" w:hAnsi="Calibri"/>
          <w:b/>
          <w:bCs/>
        </w:rPr>
        <w:t xml:space="preserve">27 casos fallaron</w:t>
      </w:r>
      <w:r>
        <w:rPr>
          <w:rFonts w:ascii="Calibri" w:cs="Calibri" w:eastAsia="Calibri" w:hAnsi="Calibri"/>
        </w:rPr>
        <w:t xml:space="preserve">. Ejecución (90 %) y aprobación (87,5 %) miden cosas distintas: una dice cuánto se probó y la otra cuánto salió bien.</w:t>
      </w:r>
    </w:p>
    <w:p>
      <w:pPr>
        <w:pStyle w:val="ListParagraph"/>
        <w:numPr>
          <w:ilvl w:val="0"/>
          <w:numId w:val="2"/>
        </w:numPr>
        <w:spacing w:after="60" w:line="276"/>
      </w:pPr>
      <w:r>
        <w:rPr>
          <w:rFonts w:ascii="Calibri" w:cs="Calibri" w:eastAsia="Calibri" w:hAnsi="Calibri"/>
          <w:b/>
          <w:bCs/>
        </w:rPr>
        <w:t xml:space="preserve">H4 · Severidad.</w:t>
      </w:r>
      <w:r>
        <w:rPr>
          <w:rFonts w:ascii="Calibri" w:cs="Calibri" w:eastAsia="Calibri" w:hAnsi="Calibri"/>
        </w:rPr>
        <w:t xml:space="preserve"> Quedan </w:t>
      </w:r>
      <w:r>
        <w:rPr>
          <w:rFonts w:ascii="Calibri" w:cs="Calibri" w:eastAsia="Calibri" w:hAnsi="Calibri"/>
          <w:b/>
          <w:bCs/>
        </w:rPr>
        <w:t xml:space="preserve">3 defectos críticos abiertos</w:t>
      </w:r>
      <w:r>
        <w:rPr>
          <w:rFonts w:ascii="Calibri" w:cs="Calibri" w:eastAsia="Calibri" w:hAnsi="Calibri"/>
        </w:rPr>
        <w:t xml:space="preserve"> frente a una meta de 0. Por sí solo, este indicador impide liberar.</w:t>
      </w:r>
    </w:p>
    <w:p>
      <w:pPr>
        <w:pStyle w:val="ListParagraph"/>
        <w:numPr>
          <w:ilvl w:val="0"/>
          <w:numId w:val="2"/>
        </w:numPr>
        <w:spacing w:after="60" w:line="276"/>
      </w:pPr>
      <w:r>
        <w:rPr>
          <w:rFonts w:ascii="Calibri" w:cs="Calibri" w:eastAsia="Calibri" w:hAnsi="Calibri"/>
          <w:b/>
          <w:bCs/>
        </w:rPr>
        <w:t xml:space="preserve">H5 · Corrección.</w:t>
      </w:r>
      <w:r>
        <w:rPr>
          <w:rFonts w:ascii="Calibri" w:cs="Calibri" w:eastAsia="Calibri" w:hAnsi="Calibri"/>
        </w:rPr>
        <w:t xml:space="preserve"> 80 % de defectos corregidos y 10 abiertos. Cantidad y severidad se leen juntas: 10 abiertos con 3 críticos no equivalen a 10 menores.</w:t>
      </w:r>
    </w:p>
    <w:p>
      <w:pPr>
        <w:pStyle w:val="ListParagraph"/>
        <w:numPr>
          <w:ilvl w:val="0"/>
          <w:numId w:val="2"/>
        </w:numPr>
        <w:spacing w:after="60" w:line="276"/>
      </w:pPr>
      <w:r>
        <w:rPr>
          <w:rFonts w:ascii="Calibri" w:cs="Calibri" w:eastAsia="Calibri" w:hAnsi="Calibri"/>
          <w:b/>
          <w:bCs/>
        </w:rPr>
        <w:t xml:space="preserve">H6 · Concentración.</w:t>
      </w:r>
      <w:r>
        <w:rPr>
          <w:rFonts w:ascii="Calibri" w:cs="Calibri" w:eastAsia="Calibri" w:hAnsi="Calibri"/>
        </w:rPr>
        <w:t xml:space="preserve"> El 54 % de los defectos está en Asignación de rutas, Órdenes y Seguimiento.</w:t>
      </w:r>
    </w:p>
    <w:p>
      <w:pPr>
        <w:pStyle w:val="ListParagraph"/>
        <w:numPr>
          <w:ilvl w:val="0"/>
          <w:numId w:val="2"/>
        </w:numPr>
        <w:spacing w:after="60" w:line="276"/>
      </w:pPr>
      <w:r>
        <w:rPr>
          <w:rFonts w:ascii="Calibri" w:cs="Calibri" w:eastAsia="Calibri" w:hAnsi="Calibri"/>
          <w:b/>
          <w:bCs/>
        </w:rPr>
        <w:t xml:space="preserve">H7 · Resolución.</w:t>
      </w:r>
      <w:r>
        <w:rPr>
          <w:rFonts w:ascii="Calibri" w:cs="Calibri" w:eastAsia="Calibri" w:hAnsi="Calibri"/>
        </w:rPr>
        <w:t xml:space="preserve"> El TMR de 6 h cumple (≤ 7 h): el equipo corrige con rapidez. El problema no es la velocidad de respuesta, sino el volumen de defectos y la cantidad de trabajo que aún falta verificar.</w:t>
      </w:r>
    </w:p>
    <w:p>
      <w:pPr>
        <w:pStyle w:val="ListParagraph"/>
        <w:numPr>
          <w:ilvl w:val="0"/>
          <w:numId w:val="2"/>
        </w:numPr>
        <w:spacing w:after="60" w:line="276"/>
      </w:pPr>
      <w:r>
        <w:rPr>
          <w:rFonts w:ascii="Calibri" w:cs="Calibri" w:eastAsia="Calibri" w:hAnsi="Calibri"/>
          <w:b/>
          <w:bCs/>
        </w:rPr>
        <w:t xml:space="preserve">H8 · Disponibilidad.</w:t>
      </w:r>
      <w:r>
        <w:rPr>
          <w:rFonts w:ascii="Calibri" w:cs="Calibri" w:eastAsia="Calibri" w:hAnsi="Calibri"/>
        </w:rPr>
        <w:t xml:space="preserve"> 98,9 % frente a 99,2 %. En un mes de 30 días (720 h) equivale a unas 7,9 h de caída frente a 5,8 h permitidas, es decir, ≈ 2,2 h de más.</w:t>
      </w:r>
    </w:p>
    <w:p>
      <w:pPr>
        <w:spacing w:after="80"/>
      </w:pPr>
    </w:p>
    <w:p>
      <w:pPr>
        <w:spacing w:after="120" w:line="276"/>
      </w:pPr>
      <w:r>
        <w:rPr>
          <w:rFonts w:ascii="Calibri" w:cs="Calibri" w:eastAsia="Calibri" w:hAnsi="Calibri"/>
          <w:b/>
          <w:bCs/>
        </w:rPr>
        <w:t xml:space="preserve">Lectura conjunta.</w:t>
      </w:r>
      <w:r>
        <w:rPr>
          <w:rFonts w:ascii="Calibri" w:cs="Calibri" w:eastAsia="Calibri" w:hAnsi="Calibri"/>
        </w:rPr>
        <w:t xml:space="preserve"> Un indicador favorable no anula las demás señales: el buen TMR no compensa los críticos abiertos, y el 90 % de ejecución no significa que el sistema esté probado. Las métricas de proyecto, proceso y producto apuntan en la misma dirección: el sistema está avanzado, pero aún no es confiable.</w:t>
      </w:r>
    </w:p>
    <w:p>
      <w:pPr>
        <w:spacing w:after="120" w:line="276"/>
      </w:pPr>
      <w:r>
        <w:rPr>
          <w:rFonts w:ascii="Calibri" w:cs="Calibri" w:eastAsia="Calibri" w:hAnsi="Calibri"/>
          <w:b/>
          <w:bCs/>
        </w:rPr>
        <w:t xml:space="preserve">Esfuerzo (recursos).</w:t>
      </w:r>
      <w:r>
        <w:rPr>
          <w:rFonts w:ascii="Calibri" w:cs="Calibri" w:eastAsia="Calibri" w:hAnsi="Calibri"/>
        </w:rPr>
        <w:t xml:space="preserve"> 1.320 h para 132 requisitos son 10 h por requisito. No hay referencia para decir si es alto o bajo; sirve para planificar lo restante (≈ 180 h estimadas) y para comparar en ciclos futuros.</w:t>
      </w:r>
    </w:p>
    <w:p>
      <w:pPr>
        <w:pStyle w:val="Heading1"/>
      </w:pPr>
      <w:r>
        <w:rPr>
          <w:rFonts w:ascii="Calibri" w:cs="Calibri" w:eastAsia="Calibri" w:hAnsi="Calibri"/>
        </w:rPr>
        <w:t xml:space="preserve">8. Paso 7 · De la métrica a la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60"/>
        <w:gridCol w:w="1200"/>
        <w:gridCol w:w="1200"/>
      </w:tblGrid>
      <w:tr>
        <w:trPr>
          <w:tblHeader/>
        </w:trPr>
        <w:tc>
          <w:tcPr>
            <w:tcW w:type="dxa" w:w="29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Hallazgo</w:t>
            </w:r>
          </w:p>
        </w:tc>
        <w:tc>
          <w:tcPr>
            <w:tcW w:type="dxa" w:w="406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Decisión que se justifica</w:t>
            </w:r>
          </w:p>
        </w:tc>
        <w:tc>
          <w:tcPr>
            <w:tcW w:type="dxa" w:w="12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Prioridad</w:t>
            </w:r>
          </w:p>
        </w:tc>
        <w:tc>
          <w:tcPr>
            <w:tcW w:type="dxa" w:w="12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Cuándo</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3 defectos críticos abiertos</w:t>
            </w:r>
          </w:p>
        </w:tc>
        <w:tc>
          <w:tcPr>
            <w:tcW w:type="dxa" w:w="4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Resolverlos y re-probarlos de inmediato; identificar su módulo y causa raíz</w:t>
            </w:r>
          </w:p>
        </w:tc>
        <w:tc>
          <w:tcPr>
            <w:tcW w:type="dxa" w:w="120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r>
              <w:rPr>
                <w:rFonts w:ascii="Calibri" w:cs="Calibri" w:eastAsia="Calibri" w:hAnsi="Calibri"/>
                <w:b/>
                <w:bCs/>
                <w:sz w:val="19"/>
                <w:szCs w:val="19"/>
              </w:rPr>
              <w:t xml:space="preserve">1 · Crítica</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Antes de todo</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24 casos sin ejecutar</w:t>
            </w:r>
          </w:p>
        </w:tc>
        <w:tc>
          <w:tcPr>
            <w:tcW w:type="dxa" w:w="4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Completar la ejecución (mínimo 12 para el 95 %; recomendable los 24)</w:t>
            </w:r>
          </w:p>
        </w:tc>
        <w:tc>
          <w:tcPr>
            <w:tcW w:type="dxa" w:w="120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r>
              <w:rPr>
                <w:rFonts w:ascii="Calibri" w:cs="Calibri" w:eastAsia="Calibri" w:hAnsi="Calibri"/>
                <w:b/>
                <w:bCs/>
                <w:sz w:val="19"/>
                <w:szCs w:val="19"/>
              </w:rPr>
              <w:t xml:space="preserve">2 · Alta</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Esta semana</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27 casos no aprobados</w:t>
            </w:r>
          </w:p>
        </w:tc>
        <w:tc>
          <w:tcPr>
            <w:tcW w:type="dxa" w:w="4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Analizar cada fallo, vincularlo a un defecto, corregir y repetir la prueba</w:t>
            </w:r>
          </w:p>
        </w:tc>
        <w:tc>
          <w:tcPr>
            <w:tcW w:type="dxa" w:w="1200"/>
            <w:tcBorders>
              <w:top w:val="single" w:color="B8C2CC" w:sz="4"/>
              <w:left w:val="single" w:color="B8C2CC" w:sz="4"/>
              <w:bottom w:val="single" w:color="B8C2CC" w:sz="4"/>
              <w:right w:val="single" w:color="B8C2CC" w:sz="4"/>
            </w:tcBorders>
            <w:shd w:fill="F8D7DA" w:color="auto" w:val="clear"/>
            <w:tcMar>
              <w:top w:type="dxa" w:w="60"/>
              <w:left w:type="dxa" w:w="100"/>
              <w:bottom w:type="dxa" w:w="60"/>
              <w:right w:type="dxa" w:w="100"/>
            </w:tcMar>
            <w:vAlign w:val="center"/>
          </w:tcPr>
          <w:p>
            <w:r>
              <w:rPr>
                <w:rFonts w:ascii="Calibri" w:cs="Calibri" w:eastAsia="Calibri" w:hAnsi="Calibri"/>
                <w:b/>
                <w:bCs/>
                <w:sz w:val="19"/>
                <w:szCs w:val="19"/>
              </w:rPr>
              <w:t xml:space="preserve">2 · Alta</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Esta semana</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54 % de defectos en 3 módulos</w:t>
            </w:r>
          </w:p>
        </w:tc>
        <w:tc>
          <w:tcPr>
            <w:tcW w:type="dxa" w:w="4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Revisión de código, pruebas adicionales y posible refactorización en Asignación de rutas, Órdenes y Seguimiento</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3 · Media-alta</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Próximo ciclo</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10 defectos abiertos (80 % corregido)</w:t>
            </w:r>
          </w:p>
        </w:tc>
        <w:tc>
          <w:tcPr>
            <w:tcW w:type="dxa" w:w="4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Corregir al menos 5 más para llegar al 90 %, empezando por los críticos y los de módulos clave</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3 · Media-alta</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Próximo ciclo</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Disponibilidad 98,9 %</w:t>
            </w:r>
          </w:p>
        </w:tc>
        <w:tc>
          <w:tcPr>
            <w:tcW w:type="dxa" w:w="4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Investigar cuándo, cuánto duró, causa, componente y recurrencia de las caídas; plan de mitigación</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3 · Media-alta</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Próximo ciclo</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18 requisitos pendientes</w:t>
            </w:r>
          </w:p>
        </w:tc>
        <w:tc>
          <w:tcPr>
            <w:tcW w:type="dxa" w:w="4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Definir cuáles son imprescindibles para el piloto y replanificar el resto (mínimo 3 más para el 90 %)</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4 · Media</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Próximo ciclo</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TMR dentro del meta</w:t>
            </w:r>
          </w:p>
        </w:tc>
        <w:tc>
          <w:tcPr>
            <w:tcW w:type="dxa" w:w="4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Mantener el proceso y seguir monitoreando; vigilar que no suba con el aumento de carga</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5 · Mantener</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Continuo</w:t>
            </w:r>
          </w:p>
        </w:tc>
      </w:tr>
    </w:tbl>
    <w:p>
      <w:pPr>
        <w:spacing w:after="80"/>
      </w:pPr>
    </w:p>
    <w:p>
      <w:pPr>
        <w:pStyle w:val="Heading1"/>
      </w:pPr>
      <w:r>
        <w:rPr>
          <w:rFonts w:ascii="Calibri" w:cs="Calibri" w:eastAsia="Calibri" w:hAnsi="Calibri"/>
        </w:rPr>
        <w:t xml:space="preserve">9. Dictamen y criterios de salida</w:t>
      </w:r>
    </w:p>
    <w:p>
      <w:pPr>
        <w:spacing w:after="120" w:line="276"/>
      </w:pPr>
      <w:r>
        <w:rPr>
          <w:rFonts w:ascii="Calibri" w:cs="Calibri" w:eastAsia="Calibri" w:hAnsi="Calibri"/>
          <w:b/>
          <w:bCs/>
        </w:rPr>
        <w:t xml:space="preserve">Recomendación: no liberar a producción ahora; mantener el piloto y liberar de forma condicionada</w:t>
      </w:r>
      <w:r>
        <w:rPr>
          <w:rFonts w:ascii="Calibri" w:cs="Calibri" w:eastAsia="Calibri" w:hAnsi="Calibri"/>
        </w:rPr>
        <w:t xml:space="preserve"> cuando se cumplan los criterios de salida.</w:t>
      </w:r>
    </w:p>
    <w:p>
      <w:pPr>
        <w:spacing w:after="80"/>
      </w:pPr>
    </w:p>
    <w:p>
      <w:pPr>
        <w:spacing w:after="120" w:line="276"/>
      </w:pPr>
      <w:r>
        <w:rPr>
          <w:rFonts w:ascii="Calibri" w:cs="Calibri" w:eastAsia="Calibri" w:hAnsi="Calibri"/>
          <w:b/>
          <w:bCs/>
        </w:rPr>
        <w:t xml:space="preserve">Justificación.</w:t>
      </w:r>
      <w:r>
        <w:rPr>
          <w:rFonts w:ascii="Calibri" w:cs="Calibri" w:eastAsia="Calibri" w:hAnsi="Calibri"/>
        </w:rPr>
        <w:t xml:space="preserve"> (1) Un solo defecto crítico abierto ya es motivo de bloqueo, y hay 3. (2) Hay 6 de 7 indicadores bajo la referencia. (3) Existen 24 pruebas sin ejecutar, por lo que el riesgo real es mayor que el medido. (4) La disponibilidad no alcanza lo pactado, lo cual afecta a los clientes empresariales que dependen del seguimiento de sus entregas.</w:t>
      </w:r>
    </w:p>
    <w:p>
      <w:pPr>
        <w:spacing w:after="120" w:line="276"/>
      </w:pPr>
      <w:r>
        <w:rPr>
          <w:rFonts w:ascii="Calibri" w:cs="Calibri" w:eastAsia="Calibri" w:hAnsi="Calibri"/>
          <w:b/>
          <w:bCs/>
        </w:rPr>
        <w:t xml:space="preserve">Por qué no es “el proyecto va mal”:</w:t>
      </w:r>
      <w:r>
        <w:rPr>
          <w:rFonts w:ascii="Calibri" w:cs="Calibri" w:eastAsia="Calibri" w:hAnsi="Calibri"/>
        </w:rPr>
        <w:t xml:space="preserve"> el avance es alto (88 %), el equipo resuelve rápido (TMR 6 h) y las brechas son pequeñas en varios indicadores (2 a 5 pp). La brecha realmente grave son los críticos. Por eso la recomendación es corregir y volver a medir, no descartar el trabajo.</w:t>
      </w:r>
    </w:p>
    <w:p>
      <w:pPr>
        <w:keepNext/>
        <w:spacing w:after="120" w:line="276"/>
      </w:pPr>
      <w:r>
        <w:rPr>
          <w:rFonts w:ascii="Calibri" w:cs="Calibri" w:eastAsia="Calibri" w:hAnsi="Calibri"/>
          <w:b/>
          <w:bCs/>
        </w:rPr>
        <w:t xml:space="preserve">Criterios de salida propuestos (ciclo de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00"/>
        <w:gridCol w:w="2060"/>
      </w:tblGrid>
      <w:tr>
        <w:trPr>
          <w:tblHeader/>
        </w:trPr>
        <w:tc>
          <w:tcPr>
            <w:tcW w:type="dxa" w:w="35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Criterio</w:t>
            </w:r>
          </w:p>
        </w:tc>
        <w:tc>
          <w:tcPr>
            <w:tcW w:type="dxa" w:w="19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Situación actual</w:t>
            </w:r>
          </w:p>
        </w:tc>
        <w:tc>
          <w:tcPr>
            <w:tcW w:type="dxa" w:w="19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Meta</w:t>
            </w:r>
          </w:p>
        </w:tc>
        <w:tc>
          <w:tcPr>
            <w:tcW w:type="dxa" w:w="206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Falta</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Defectos críticos abiertos</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w:t>
            </w:r>
          </w:p>
        </w:tc>
        <w:tc>
          <w:tcPr>
            <w:tcW w:type="dxa" w:w="2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 correcciones</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Defectos corregidos</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80 %</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90 %</w:t>
            </w:r>
          </w:p>
        </w:tc>
        <w:tc>
          <w:tcPr>
            <w:tcW w:type="dxa" w:w="2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 correcciones</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Ejecución de pruebas</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90 %</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95 %</w:t>
            </w:r>
          </w:p>
        </w:tc>
        <w:tc>
          <w:tcPr>
            <w:tcW w:type="dxa" w:w="2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12 casos</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Aprobación de pruebas</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87,5 %</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92 %</w:t>
            </w:r>
          </w:p>
        </w:tc>
        <w:tc>
          <w:tcPr>
            <w:tcW w:type="dxa" w:w="2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Re-probar fallos (≈ 10 aprobados más sobre 216)</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Requisitos implementados</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88 %</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90 %</w:t>
            </w:r>
          </w:p>
        </w:tc>
        <w:tc>
          <w:tcPr>
            <w:tcW w:type="dxa" w:w="2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 requisitos</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Disponibilidad</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98,9 %</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99,2 %</w:t>
            </w:r>
          </w:p>
        </w:tc>
        <w:tc>
          <w:tcPr>
            <w:tcW w:type="dxa" w:w="2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Causa raíz resuelta</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TMR</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 h</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 7 h</w:t>
            </w:r>
          </w:p>
        </w:tc>
        <w:tc>
          <w:tcPr>
            <w:tcW w:type="dxa" w:w="20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Mantener</w:t>
            </w:r>
          </w:p>
        </w:tc>
      </w:tr>
    </w:tbl>
    <w:p>
      <w:pPr>
        <w:spacing w:after="140" w:before="60"/>
      </w:pPr>
      <w:r>
        <w:rPr>
          <w:rFonts w:ascii="Calibri" w:cs="Calibri" w:eastAsia="Calibri" w:hAnsi="Calibri"/>
          <w:i/>
          <w:iCs/>
          <w:color w:val="555555"/>
          <w:sz w:val="18"/>
          <w:szCs w:val="18"/>
        </w:rPr>
        <w:t xml:space="preserve">Los faltantes se calculan sobre los datos actuales y suponen que no aparecen nuevos defectos. Si se ejecutan los 24 casos pendientes, los números cambiarán y habrá que recalcular.</w:t>
      </w:r>
    </w:p>
    <w:p>
      <w:pPr>
        <w:pStyle w:val="Heading1"/>
      </w:pPr>
      <w:r>
        <w:rPr>
          <w:rFonts w:ascii="Calibri" w:cs="Calibri" w:eastAsia="Calibri" w:hAnsi="Calibri"/>
        </w:rPr>
        <w:t xml:space="preserve">10. Qué no se puede concluir (límites de las métricas)</w:t>
      </w:r>
    </w:p>
    <w:p>
      <w:pPr>
        <w:pStyle w:val="ListParagraph"/>
        <w:numPr>
          <w:ilvl w:val="0"/>
          <w:numId w:val="2"/>
        </w:numPr>
        <w:spacing w:after="60" w:line="276"/>
      </w:pPr>
      <w:r>
        <w:rPr>
          <w:rFonts w:ascii="Calibri" w:cs="Calibri" w:eastAsia="Calibri" w:hAnsi="Calibri"/>
          <w:b/>
          <w:bCs/>
        </w:rPr>
        <w:t xml:space="preserve">No se puede afirmar que el sistema está terminado en un 88 %.</w:t>
      </w:r>
      <w:r>
        <w:rPr>
          <w:rFonts w:ascii="Calibri" w:cs="Calibri" w:eastAsia="Calibri" w:hAnsi="Calibri"/>
        </w:rPr>
        <w:t xml:space="preserve"> Falta complejidad de los requisitos restantes, defectos pendientes, pruebas y despliegue.</w:t>
      </w:r>
    </w:p>
    <w:p>
      <w:pPr>
        <w:pStyle w:val="ListParagraph"/>
        <w:numPr>
          <w:ilvl w:val="0"/>
          <w:numId w:val="2"/>
        </w:numPr>
        <w:spacing w:after="60" w:line="276"/>
      </w:pPr>
      <w:r>
        <w:rPr>
          <w:rFonts w:ascii="Calibri" w:cs="Calibri" w:eastAsia="Calibri" w:hAnsi="Calibri"/>
          <w:b/>
          <w:bCs/>
        </w:rPr>
        <w:t xml:space="preserve">El promedio de 10 h por requisito no es el costo real de cada uno.</w:t>
      </w:r>
      <w:r>
        <w:rPr>
          <w:rFonts w:ascii="Calibri" w:cs="Calibri" w:eastAsia="Calibri" w:hAnsi="Calibri"/>
        </w:rPr>
        <w:t xml:space="preserve"> Los requisitos tienen complejidades diferentes.</w:t>
      </w:r>
    </w:p>
    <w:p>
      <w:pPr>
        <w:pStyle w:val="ListParagraph"/>
        <w:numPr>
          <w:ilvl w:val="0"/>
          <w:numId w:val="2"/>
        </w:numPr>
        <w:spacing w:after="60" w:line="276"/>
      </w:pPr>
      <w:r>
        <w:rPr>
          <w:rFonts w:ascii="Calibri" w:cs="Calibri" w:eastAsia="Calibri" w:hAnsi="Calibri"/>
          <w:b/>
          <w:bCs/>
        </w:rPr>
        <w:t xml:space="preserve">El TMR es un promedio.</w:t>
      </w:r>
      <w:r>
        <w:rPr>
          <w:rFonts w:ascii="Calibri" w:cs="Calibri" w:eastAsia="Calibri" w:hAnsi="Calibri"/>
        </w:rPr>
        <w:t xml:space="preserve"> No muestra valores extremos ni la severidad; un defecto crítico podría haber tardado mucho más que 6 h. Además se asume que las 40 incidencias resueltas corresponden a los 40 defectos corregidos; conviene verificarlo.</w:t>
      </w:r>
    </w:p>
    <w:p>
      <w:pPr>
        <w:pStyle w:val="ListParagraph"/>
        <w:numPr>
          <w:ilvl w:val="0"/>
          <w:numId w:val="2"/>
        </w:numPr>
        <w:spacing w:after="60" w:line="276"/>
      </w:pPr>
      <w:r>
        <w:rPr>
          <w:rFonts w:ascii="Calibri" w:cs="Calibri" w:eastAsia="Calibri" w:hAnsi="Calibri"/>
          <w:b/>
          <w:bCs/>
        </w:rPr>
        <w:t xml:space="preserve">Los defectos por módulo no son comparables sin el tamaño y la complejidad de cada módulo.</w:t>
      </w:r>
      <w:r>
        <w:rPr>
          <w:rFonts w:ascii="Calibri" w:cs="Calibri" w:eastAsia="Calibri" w:hAnsi="Calibri"/>
        </w:rPr>
        <w:t xml:space="preserve"> Para relativizar sería útil contar con líneas de código o puntos de función por módulo.</w:t>
      </w:r>
    </w:p>
    <w:p>
      <w:pPr>
        <w:pStyle w:val="ListParagraph"/>
        <w:numPr>
          <w:ilvl w:val="0"/>
          <w:numId w:val="2"/>
        </w:numPr>
        <w:spacing w:after="60" w:line="276"/>
      </w:pPr>
      <w:r>
        <w:rPr>
          <w:rFonts w:ascii="Calibri" w:cs="Calibri" w:eastAsia="Calibri" w:hAnsi="Calibri"/>
          <w:b/>
          <w:bCs/>
        </w:rPr>
        <w:t xml:space="preserve">No se debe medir personas con estas métricas</w:t>
      </w:r>
      <w:r>
        <w:rPr>
          <w:rFonts w:ascii="Calibri" w:cs="Calibri" w:eastAsia="Calibri" w:hAnsi="Calibri"/>
        </w:rPr>
        <w:t xml:space="preserve"> (por ejemplo, defectos por desarrollador o número de commits como productividad): incentivaría conductas artificiales en vez de mejorar el proceso.</w:t>
      </w:r>
    </w:p>
    <w:p>
      <w:pPr>
        <w:pStyle w:val="ListParagraph"/>
        <w:numPr>
          <w:ilvl w:val="0"/>
          <w:numId w:val="2"/>
        </w:numPr>
        <w:spacing w:after="60" w:line="276"/>
      </w:pPr>
      <w:r>
        <w:rPr>
          <w:rFonts w:ascii="Calibri" w:cs="Calibri" w:eastAsia="Calibri" w:hAnsi="Calibri"/>
          <w:b/>
          <w:bCs/>
        </w:rPr>
        <w:t xml:space="preserve">Información adicional que pediría:</w:t>
      </w:r>
      <w:r>
        <w:rPr>
          <w:rFonts w:ascii="Calibri" w:cs="Calibri" w:eastAsia="Calibri" w:hAnsi="Calibri"/>
        </w:rPr>
        <w:t xml:space="preserve"> severidad y módulo de cada defecto abierto, detalle de la indisponibilidad (fechas, duración, causa), tamaño de cada módulo y qué casos de prueba pendientes corresponden a los módulos críticos.</w:t>
      </w:r>
    </w:p>
    <w:p>
      <w:pPr>
        <w:pStyle w:val="Heading1"/>
      </w:pPr>
      <w:r>
        <w:rPr>
          <w:rFonts w:ascii="Calibri" w:cs="Calibri" w:eastAsia="Calibri" w:hAnsi="Calibri"/>
        </w:rPr>
        <w:t xml:space="preserve">11. Sistema de métricas y plan de remedición</w:t>
      </w:r>
    </w:p>
    <w:p>
      <w:pPr>
        <w:spacing w:after="120" w:line="276"/>
      </w:pPr>
      <w:r>
        <w:rPr>
          <w:rFonts w:ascii="Calibri" w:cs="Calibri" w:eastAsia="Calibri" w:hAnsi="Calibri"/>
        </w:rPr>
        <w:t xml:space="preserve">Para que la medición sea repetible: </w:t>
      </w:r>
      <w:r>
        <w:rPr>
          <w:rFonts w:ascii="Calibri" w:cs="Calibri" w:eastAsia="Calibri" w:hAnsi="Calibri"/>
          <w:b/>
          <w:bCs/>
        </w:rPr>
        <w:t xml:space="preserve">objetivo → pregunta → métrica → datos → cálculo → comparación con referencia → interpretación → decisión → volver a medir.</w:t>
      </w:r>
      <w:r>
        <w:rPr>
          <w:rFonts w:ascii="Calibri" w:cs="Calibri" w:eastAsia="Calibri" w:hAnsi="Calibri"/>
        </w:rPr>
        <w:t xml:space="preserve"> Ejemplo completo con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Paso</w:t>
            </w:r>
          </w:p>
        </w:tc>
        <w:tc>
          <w:tcPr>
            <w:tcW w:type="dxa" w:w="7360"/>
            <w:tcBorders>
              <w:top w:val="single" w:color="B8C2CC" w:sz="4"/>
              <w:left w:val="single" w:color="B8C2CC" w:sz="4"/>
              <w:bottom w:val="single" w:color="B8C2CC" w:sz="4"/>
              <w:right w:val="single" w:color="B8C2CC" w:sz="4"/>
            </w:tcBorders>
            <w:shd w:fill="5B3F8C"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Aplicación en LogiTrack</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Objetivo</w:t>
            </w:r>
          </w:p>
        </w:tc>
        <w:tc>
          <w:tcPr>
            <w:tcW w:type="dxa" w:w="73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Evaluar la estabilidad operacional de LogiTrack en el piloto</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Pregunta</w:t>
            </w:r>
          </w:p>
        </w:tc>
        <w:tc>
          <w:tcPr>
            <w:tcW w:type="dxa" w:w="73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¿La plataforma está disponible al nivel acordado?</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Métrica / resultado</w:t>
            </w:r>
          </w:p>
        </w:tc>
        <w:tc>
          <w:tcPr>
            <w:tcW w:type="dxa" w:w="73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Porcentaje de disponibilidad = 98,9 %</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Referencia</w:t>
            </w:r>
          </w:p>
        </w:tc>
        <w:tc>
          <w:tcPr>
            <w:tcW w:type="dxa" w:w="73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 99,2 % (brecha de −0,3 pp)</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Interpretación</w:t>
            </w:r>
          </w:p>
        </w:tc>
        <w:tc>
          <w:tcPr>
            <w:tcW w:type="dxa" w:w="73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Cerca de la meta pero incumpliéndola; ≈ 2,2 h extra de caída al mes</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Investigación</w:t>
            </w:r>
          </w:p>
        </w:tc>
        <w:tc>
          <w:tcPr>
            <w:tcW w:type="dxa" w:w="73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Cuándo, duración, causa, componente afectado y recurrencia</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Decisión</w:t>
            </w:r>
          </w:p>
        </w:tc>
        <w:tc>
          <w:tcPr>
            <w:tcW w:type="dxa" w:w="7360"/>
            <w:tcBorders>
              <w:top w:val="single" w:color="B8C2CC" w:sz="4"/>
              <w:left w:val="single" w:color="B8C2CC" w:sz="4"/>
              <w:bottom w:val="single" w:color="B8C2CC" w:sz="4"/>
              <w:right w:val="single" w:color="B8C2CC"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Priorizar y corregir las causas; re-medir en el siguiente ciclo</w:t>
            </w:r>
          </w:p>
        </w:tc>
      </w:tr>
    </w:tbl>
    <w:p>
      <w:pPr>
        <w:spacing w:after="80"/>
      </w:pPr>
    </w:p>
    <w:p>
      <w:pPr>
        <w:spacing w:after="120" w:line="276"/>
      </w:pPr>
      <w:r>
        <w:rPr>
          <w:rFonts w:ascii="Calibri" w:cs="Calibri" w:eastAsia="Calibri" w:hAnsi="Calibri"/>
          <w:b/>
          <w:bCs/>
        </w:rPr>
        <w:t xml:space="preserve">Orden de remedición tras aplicar las acciones:</w:t>
      </w:r>
      <w:r>
        <w:rPr>
          <w:rFonts w:ascii="Calibri" w:cs="Calibri" w:eastAsia="Calibri" w:hAnsi="Calibri"/>
        </w:rPr>
        <w:t xml:space="preserve"> (1) defectos críticos abiertos, por ser el bloqueante; (2) aprobación y ejecución de pruebas; (3) defectos corregidos y distribución por módulo; (4) disponibilidad durante al menos un ciclo completo; (5) TMR para confirmar que se mantiene.</w:t>
      </w:r>
    </w:p>
    <w:p>
      <w:pPr>
        <w:pStyle w:val="Heading1"/>
      </w:pPr>
      <w:r>
        <w:rPr>
          <w:rFonts w:ascii="Calibri" w:cs="Calibri" w:eastAsia="Calibri" w:hAnsi="Calibri"/>
        </w:rPr>
        <w:t xml:space="preserve">12. Conclusión</w:t>
      </w:r>
    </w:p>
    <w:p>
      <w:pPr>
        <w:spacing w:after="120" w:line="276"/>
      </w:pPr>
      <w:r>
        <w:rPr>
          <w:rFonts w:ascii="Calibri" w:cs="Calibri" w:eastAsia="Calibri" w:hAnsi="Calibri"/>
        </w:rPr>
        <w:t xml:space="preserve">LogiTrack presenta </w:t>
      </w:r>
      <w:r>
        <w:rPr>
          <w:rFonts w:ascii="Calibri" w:cs="Calibri" w:eastAsia="Calibri" w:hAnsi="Calibri"/>
          <w:b/>
          <w:bCs/>
        </w:rPr>
        <w:t xml:space="preserve">88 % de requisitos implementados, 90 % de pruebas ejecutadas, 87,5 % de aprobación, 80 % de defectos corregidos y un TMR de 6 horas que sí cumple</w:t>
      </w:r>
      <w:r>
        <w:rPr>
          <w:rFonts w:ascii="Calibri" w:cs="Calibri" w:eastAsia="Calibri" w:hAnsi="Calibri"/>
        </w:rPr>
        <w:t xml:space="preserve">. Sin embargo, permanecen </w:t>
      </w:r>
      <w:r>
        <w:rPr>
          <w:rFonts w:ascii="Calibri" w:cs="Calibri" w:eastAsia="Calibri" w:hAnsi="Calibri"/>
          <w:b/>
          <w:bCs/>
        </w:rPr>
        <w:t xml:space="preserve">3 defectos críticos, 24 pruebas sin ejecutar, 54 % de los defectos concentrados en tres módulos y una disponibilidad de 98,9 %</w:t>
      </w:r>
      <w:r>
        <w:rPr>
          <w:rFonts w:ascii="Calibri" w:cs="Calibri" w:eastAsia="Calibri" w:hAnsi="Calibri"/>
        </w:rPr>
        <w:t xml:space="preserve">, inferior a la referencia de 99,2 %.</w:t>
      </w:r>
    </w:p>
    <w:p>
      <w:pPr>
        <w:spacing w:after="120" w:line="276"/>
      </w:pPr>
      <w:r>
        <w:rPr>
          <w:rFonts w:ascii="Calibri" w:cs="Calibri" w:eastAsia="Calibri" w:hAnsi="Calibri"/>
        </w:rPr>
        <w:t xml:space="preserve">Con esta evidencia la gerencia ya no debería decir “LogiTrack está bien” ni “está mal”, sino: </w:t>
      </w:r>
      <w:r>
        <w:rPr>
          <w:rFonts w:ascii="Calibri" w:cs="Calibri" w:eastAsia="Calibri" w:hAnsi="Calibri"/>
          <w:b/>
          <w:bCs/>
        </w:rPr>
        <w:t xml:space="preserve">el sistema está avanzado y el equipo responde rápido, pero todavía no cumple los criterios mínimos de liberación; se recomienda resolver los críticos, completar las pruebas, reforzar los módulos de mayor concentración, investigar la disponibilidad y volver a medir antes de autorizar el paso a producción.</w:t>
      </w:r>
    </w:p>
    <w:p>
      <w:pPr>
        <w:spacing w:after="120" w:line="276"/>
      </w:pPr>
      <w:r>
        <w:rPr>
          <w:rFonts w:ascii="Calibri" w:cs="Calibri" w:eastAsia="Calibri" w:hAnsi="Calibri"/>
        </w:rPr>
        <w:t xml:space="preserve">El aprendizaje central: una métrica adquiere valor no porque pueda calcularse, sino cuando está ligada a un objetivo, se interpreta en su contexto y sustenta una decisión.</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Evaluación de LogiTrack · Métricas de software · Página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5B3F8C"/>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7A5B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f54687446cf79ba70e27cb365505f09d8fa36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2026-10-08T21:20:34.948Z</dcterms:created>
  <dcterms:modified xsi:type="dcterms:W3CDTF">2026-10-08T21:20:34.950Z</dcterms:modified>
</cp:coreProperties>
</file>

<file path=docProps/custom.xml><?xml version="1.0" encoding="utf-8"?>
<Properties xmlns="http://schemas.openxmlformats.org/officeDocument/2006/custom-properties" xmlns:vt="http://schemas.openxmlformats.org/officeDocument/2006/docPropsVTypes"/>
</file>