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2B2F" w14:textId="77777777" w:rsidR="001F020B" w:rsidRPr="00AF223D" w:rsidRDefault="001F020B" w:rsidP="001F020B">
      <w:pPr>
        <w:jc w:val="center"/>
        <w:rPr>
          <w:b/>
          <w:bCs/>
          <w:sz w:val="22"/>
        </w:rPr>
      </w:pPr>
      <w:r w:rsidRPr="00AF223D">
        <w:rPr>
          <w:b/>
          <w:bCs/>
          <w:sz w:val="22"/>
        </w:rPr>
        <w:t>Hybrid machine learning–geostatistical modelling of soil quality in in saline–sodic soils under arid agroecosystems of northwestern Peru</w:t>
      </w:r>
    </w:p>
    <w:p w14:paraId="07D62539" w14:textId="77777777" w:rsidR="003B41E9" w:rsidRPr="00AF223D" w:rsidRDefault="00000000">
      <w:pPr>
        <w:rPr>
          <w:sz w:val="22"/>
        </w:rPr>
      </w:pPr>
      <w:r w:rsidRPr="00AF223D">
        <w:rPr>
          <w:b/>
          <w:bCs/>
          <w:sz w:val="22"/>
        </w:rPr>
        <w:t>ABSTRACT</w:t>
      </w:r>
    </w:p>
    <w:p w14:paraId="3D5EBE8B" w14:textId="7C0EC8AB" w:rsidR="003B41E9" w:rsidRPr="00AF223D" w:rsidRDefault="00000000">
      <w:pPr>
        <w:rPr>
          <w:sz w:val="22"/>
        </w:rPr>
      </w:pPr>
      <w:r w:rsidRPr="00AF223D">
        <w:rPr>
          <w:sz w:val="22"/>
        </w:rPr>
        <w:t xml:space="preserve">Soil fertility management in mango and banana production systems in northern Peru is limited by marked spatial heterogeneity, driven by chemical imbalances, particularly salinity, alkalinity, and </w:t>
      </w:r>
      <w:proofErr w:type="spellStart"/>
      <w:r w:rsidRPr="00AF223D">
        <w:rPr>
          <w:sz w:val="22"/>
        </w:rPr>
        <w:t>sodicity</w:t>
      </w:r>
      <w:proofErr w:type="spellEnd"/>
      <w:r w:rsidRPr="00AF223D">
        <w:rPr>
          <w:sz w:val="22"/>
        </w:rPr>
        <w:t xml:space="preserve">. </w:t>
      </w:r>
      <w:r w:rsidR="0070209F" w:rsidRPr="00AF223D">
        <w:rPr>
          <w:sz w:val="22"/>
        </w:rPr>
        <w:t xml:space="preserve">This study developed a spatial predictive framework to assess soil quality across the agricultural area of </w:t>
      </w:r>
      <w:proofErr w:type="spellStart"/>
      <w:r w:rsidR="0070209F" w:rsidRPr="00AF223D">
        <w:rPr>
          <w:sz w:val="22"/>
        </w:rPr>
        <w:t>Morropón</w:t>
      </w:r>
      <w:proofErr w:type="spellEnd"/>
      <w:r w:rsidR="0070209F" w:rsidRPr="00AF223D">
        <w:rPr>
          <w:sz w:val="22"/>
        </w:rPr>
        <w:t xml:space="preserve"> Province, Piura, by integrating a weighted Soil Quality Index (</w:t>
      </w:r>
      <w:proofErr w:type="spellStart"/>
      <w:r w:rsidR="0070209F" w:rsidRPr="00AF223D">
        <w:rPr>
          <w:sz w:val="22"/>
        </w:rPr>
        <w:t>SQIw</w:t>
      </w:r>
      <w:proofErr w:type="spellEnd"/>
      <w:r w:rsidR="0070209F" w:rsidRPr="00AF223D">
        <w:rPr>
          <w:sz w:val="22"/>
        </w:rPr>
        <w:t xml:space="preserve">), specifically designed to diagnose salinity-, </w:t>
      </w:r>
      <w:proofErr w:type="spellStart"/>
      <w:r w:rsidR="0070209F" w:rsidRPr="00AF223D">
        <w:rPr>
          <w:sz w:val="22"/>
        </w:rPr>
        <w:t>sodicity</w:t>
      </w:r>
      <w:proofErr w:type="spellEnd"/>
      <w:r w:rsidR="0070209F" w:rsidRPr="00AF223D">
        <w:rPr>
          <w:sz w:val="22"/>
        </w:rPr>
        <w:t>-, and alkalinity-related constraints, with hybrid machine learning–geostatistical modelling</w:t>
      </w:r>
      <w:r w:rsidRPr="00AF223D">
        <w:rPr>
          <w:sz w:val="22"/>
        </w:rPr>
        <w:t xml:space="preserve">. Soil sampling was carried out in homogeneous units delimited according to slope, texture, and soil color. Within each unit, subsamples were composed of the 0-30 cm layer, resulting in 1304 observations representative of mango and banana fields. </w:t>
      </w:r>
      <w:r w:rsidR="0070209F" w:rsidRPr="00AF223D">
        <w:rPr>
          <w:sz w:val="22"/>
        </w:rPr>
        <w:t>The</w:t>
      </w:r>
      <w:r w:rsidRPr="00AF223D">
        <w:rPr>
          <w:sz w:val="22"/>
        </w:rPr>
        <w:t xml:space="preserve"> </w:t>
      </w:r>
      <w:proofErr w:type="spellStart"/>
      <w:r w:rsidRPr="00AF223D">
        <w:rPr>
          <w:sz w:val="22"/>
        </w:rPr>
        <w:t>SQIw</w:t>
      </w:r>
      <w:proofErr w:type="spellEnd"/>
      <w:r w:rsidRPr="00AF223D">
        <w:rPr>
          <w:sz w:val="22"/>
        </w:rPr>
        <w:t xml:space="preserve"> was constructed using laboratory-derived physicochemical soil properties combined with environmental covariates, including vegetation indices extracted from Sentinel-2 images in Google Earth Engine. A minimum data set was defined through transformation, collinearity screening, and principal component analysis. The variables were standardized, weighted according to their contribution to the explained variance, normalized using scoring functions, and linearly integrated to calculate the index, which was classified into five quality levels. Spatial prediction was performed using ordinary Kriging (OK), Random Forest (RF), and a hybrid RF with residual Kriging (RF+RK). In random cross-validation, OK showed the lowest performance (R²=0.245; RMSE = 0.155),</w:t>
      </w:r>
      <w:r w:rsidR="00D410D9">
        <w:rPr>
          <w:sz w:val="22"/>
        </w:rPr>
        <w:t xml:space="preserve"> </w:t>
      </w:r>
      <w:r w:rsidR="00D410D9" w:rsidRPr="00397B1C">
        <w:rPr>
          <w:color w:val="EE0000"/>
          <w:sz w:val="22"/>
        </w:rPr>
        <w:t>while</w:t>
      </w:r>
      <w:r w:rsidRPr="00AF223D">
        <w:rPr>
          <w:sz w:val="22"/>
        </w:rPr>
        <w:t xml:space="preserve"> RF improved accuracy (R² = </w:t>
      </w:r>
      <w:r w:rsidR="00D410D9" w:rsidRPr="00397B1C">
        <w:rPr>
          <w:color w:val="EE0000"/>
          <w:sz w:val="22"/>
        </w:rPr>
        <w:t>0.315</w:t>
      </w:r>
      <w:r w:rsidRPr="00AF223D">
        <w:rPr>
          <w:sz w:val="22"/>
        </w:rPr>
        <w:t xml:space="preserve">; RMSE = </w:t>
      </w:r>
      <w:r w:rsidRPr="00397B1C">
        <w:rPr>
          <w:color w:val="EE0000"/>
          <w:sz w:val="22"/>
        </w:rPr>
        <w:t>0.</w:t>
      </w:r>
      <w:r w:rsidR="00D410D9" w:rsidRPr="00397B1C">
        <w:rPr>
          <w:color w:val="EE0000"/>
        </w:rPr>
        <w:t xml:space="preserve"> </w:t>
      </w:r>
      <w:r w:rsidR="00D410D9" w:rsidRPr="00397B1C">
        <w:rPr>
          <w:color w:val="EE0000"/>
          <w:sz w:val="22"/>
        </w:rPr>
        <w:t>147</w:t>
      </w:r>
      <w:r w:rsidRPr="00AF223D">
        <w:rPr>
          <w:sz w:val="22"/>
        </w:rPr>
        <w:t xml:space="preserve">), and RF+RK (R² </w:t>
      </w:r>
      <w:r w:rsidRPr="00397B1C">
        <w:rPr>
          <w:color w:val="EE0000"/>
          <w:sz w:val="22"/>
        </w:rPr>
        <w:t>= 0.</w:t>
      </w:r>
      <w:r w:rsidR="00D410D9" w:rsidRPr="00397B1C">
        <w:rPr>
          <w:color w:val="EE0000"/>
          <w:sz w:val="22"/>
        </w:rPr>
        <w:t>309</w:t>
      </w:r>
      <w:r w:rsidRPr="00AF223D">
        <w:rPr>
          <w:sz w:val="22"/>
        </w:rPr>
        <w:t xml:space="preserve">; RMSE = </w:t>
      </w:r>
      <w:r w:rsidRPr="00397B1C">
        <w:rPr>
          <w:color w:val="EE0000"/>
          <w:sz w:val="22"/>
        </w:rPr>
        <w:t>0.14</w:t>
      </w:r>
      <w:r w:rsidR="00D410D9" w:rsidRPr="00397B1C">
        <w:rPr>
          <w:color w:val="EE0000"/>
          <w:sz w:val="22"/>
        </w:rPr>
        <w:t>8</w:t>
      </w:r>
      <w:r w:rsidRPr="00AF223D">
        <w:rPr>
          <w:sz w:val="22"/>
        </w:rPr>
        <w:t>)</w:t>
      </w:r>
      <w:r w:rsidR="00D410D9">
        <w:rPr>
          <w:sz w:val="22"/>
        </w:rPr>
        <w:t xml:space="preserve"> </w:t>
      </w:r>
      <w:r w:rsidR="00D410D9" w:rsidRPr="00D410D9">
        <w:rPr>
          <w:sz w:val="22"/>
        </w:rPr>
        <w:t>achieved comparable improvements</w:t>
      </w:r>
      <w:r w:rsidR="00D410D9">
        <w:rPr>
          <w:sz w:val="22"/>
        </w:rPr>
        <w:t xml:space="preserve">. </w:t>
      </w:r>
      <w:r w:rsidR="00D410D9" w:rsidRPr="00397B1C">
        <w:rPr>
          <w:color w:val="EE0000"/>
          <w:sz w:val="22"/>
        </w:rPr>
        <w:t>A reduced RF+RK model based on the most relevant predictors achieved the best numerical performance (R² = 0.340; RMSE = 0.144), although it was not statistically different from the other RF-based models</w:t>
      </w:r>
      <w:r w:rsidR="00D410D9" w:rsidRPr="00D410D9">
        <w:rPr>
          <w:sz w:val="22"/>
        </w:rPr>
        <w:t>.</w:t>
      </w:r>
      <w:r w:rsidRPr="00AF223D">
        <w:rPr>
          <w:sz w:val="22"/>
        </w:rPr>
        <w:t xml:space="preserve"> The resulting map supports site-specific fertility management in mango and banana production systems in northern Peru.</w:t>
      </w:r>
    </w:p>
    <w:p w14:paraId="76C0B53B" w14:textId="77777777" w:rsidR="003B41E9" w:rsidRPr="00AF223D" w:rsidRDefault="00000000">
      <w:pPr>
        <w:rPr>
          <w:sz w:val="22"/>
        </w:rPr>
      </w:pPr>
      <w:r w:rsidRPr="00AF223D">
        <w:rPr>
          <w:b/>
          <w:bCs/>
          <w:sz w:val="22"/>
        </w:rPr>
        <w:t>Keywords:</w:t>
      </w:r>
      <w:r w:rsidRPr="00AF223D">
        <w:rPr>
          <w:sz w:val="22"/>
        </w:rPr>
        <w:t xml:space="preserve"> Soil quality index, regression kriging, random forest, digital soil mapping, precision agriculture.</w:t>
      </w:r>
    </w:p>
    <w:p w14:paraId="59F5975C" w14:textId="77777777" w:rsidR="003B41E9" w:rsidRPr="00AF223D" w:rsidRDefault="00000000">
      <w:pPr>
        <w:pStyle w:val="Ttulo1"/>
        <w:rPr>
          <w:sz w:val="22"/>
          <w:szCs w:val="22"/>
        </w:rPr>
      </w:pPr>
      <w:bookmarkStart w:id="0" w:name="introduction"/>
      <w:r w:rsidRPr="00AF223D">
        <w:rPr>
          <w:bCs/>
          <w:sz w:val="22"/>
          <w:szCs w:val="22"/>
        </w:rPr>
        <w:lastRenderedPageBreak/>
        <w:t>INTRODUCTION</w:t>
      </w:r>
    </w:p>
    <w:p w14:paraId="3DBC993C" w14:textId="0CBDDF86" w:rsidR="003B41E9" w:rsidRPr="00AF223D" w:rsidRDefault="00000000">
      <w:pPr>
        <w:rPr>
          <w:sz w:val="22"/>
        </w:rPr>
      </w:pPr>
      <w:r w:rsidRPr="00AF223D">
        <w:rPr>
          <w:sz w:val="22"/>
        </w:rPr>
        <w:t>Soil is a key resource for maintaining global food production and is essential for achieving several of the United Nations Sustainable Development Goals (SDGs)</w:t>
      </w:r>
      <w:r w:rsidR="00BF791C">
        <w:rPr>
          <w:sz w:val="22"/>
        </w:rPr>
        <w:t xml:space="preserve"> </w:t>
      </w:r>
      <w:r w:rsidR="00BF791C">
        <w:rPr>
          <w:sz w:val="22"/>
        </w:rPr>
        <w:fldChar w:fldCharType="begin"/>
      </w:r>
      <w:r w:rsidR="00BF791C">
        <w:rPr>
          <w:sz w:val="22"/>
        </w:rPr>
        <w:instrText xml:space="preserve"> ADDIN ZOTERO_ITEM CSL_CITATION {"citationID":"k4cLSJeO","properties":{"unsorted":false,"formattedCitation":"(Singh, 2022)","plainCitation":"(Singh, 2022)","noteIndex":0},"citationItems":[{"id":595,"uris":["http://zotero.org/users/14068823/items/A4T3MVQQ"],"itemData":{"id":595,"type":"article-journal","abstract":"Soil is a vital resource for feeding the burgeoning global population, and it is also essential for realizing most of the ‘United Nations Sustainable Development Goals (SDGs)’. For example, it is vital to realizing the ‘Zero hunger (SDG2), Good health and well-being (SDG3), Clean water and sanitation (SDG6), and Life on land (SDG15)’. Excess salts present in the soil make it saline, and it poses a significant threat to agricultural production and environmental health. Soil salinity is an extensive problem and spreads over one billion hectares extended over 100 countries. This paper presents a comprehensive review of global soil salinity management through the applications of remote sensing and GIS. All possible sources of relevant and current literature were accessed and more than 260 publications were collected and carefully analysed, for this review. The rationale and severity of the salinity problem are provided. The impact of salinity on plant yield and the effect of climate change on soil salinity are detailed. The salinity indicators and salinity monitoring and mapping are provided, and the global cases of soil salinity management through remote sensing and GIS applications under different agro-hydro-climatic environments are discussed, followed by a summary of conclusions and challenges along with future research directions. The analysis of past investigations showed that remote sensing strategy might be a practical approach to adequately assess plant response such as evapotranspiration under diverse salinity environments, yet it additionally has various difficulties. The lower spatial and temporal resolution of imagery may reason errors because of subpixel heterogeneity. However, with the improvement of the better-resolution thermal infrared remote method, there is the possibility to spot spatial variations at a smaller scale.","container-title":"Soil Use and Management","DOI":"10.1111/sum.12772","ISSN":"1475-2743","issue":"1","language":"en","license":"© 2021 British Society of Soil Science","note":"_eprint: https://bsssjournals.onlinelibrary.wiley.com/doi/pdf/10.1111/sum.12772","page":"39-67","source":"Wiley Online Library","title":"Soil salinity: A global threat to sustainable development","title-short":"Soil salinity","volume":"38","author":[{"family":"Singh","given":"Ajay"}],"issued":{"date-parts":[["2022"]]}}}],"schema":"https://github.com/citation-style-language/schema/raw/master/csl-citation.json"} </w:instrText>
      </w:r>
      <w:r w:rsidR="00BF791C">
        <w:rPr>
          <w:sz w:val="22"/>
        </w:rPr>
        <w:fldChar w:fldCharType="separate"/>
      </w:r>
      <w:r w:rsidR="00BF791C" w:rsidRPr="00BF791C">
        <w:rPr>
          <w:rFonts w:cs="Times New Roman"/>
          <w:sz w:val="22"/>
        </w:rPr>
        <w:t>(Singh, 2022)</w:t>
      </w:r>
      <w:r w:rsidR="00BF791C">
        <w:rPr>
          <w:sz w:val="22"/>
        </w:rPr>
        <w:fldChar w:fldCharType="end"/>
      </w:r>
      <w:r w:rsidRPr="00AF223D">
        <w:rPr>
          <w:sz w:val="22"/>
        </w:rPr>
        <w:t>. However, agroecosystems around the world are increasingly affected by soil degradation processes related to intensive land use, erosion of the topsoil, and loss of soil organic carbon</w:t>
      </w:r>
      <w:r w:rsidR="00BF791C">
        <w:rPr>
          <w:sz w:val="22"/>
        </w:rPr>
        <w:t xml:space="preserve"> </w:t>
      </w:r>
      <w:r w:rsidR="00BF791C">
        <w:rPr>
          <w:sz w:val="22"/>
        </w:rPr>
        <w:fldChar w:fldCharType="begin"/>
      </w:r>
      <w:r w:rsidR="00BF791C">
        <w:rPr>
          <w:sz w:val="22"/>
        </w:rPr>
        <w:instrText xml:space="preserve"> ADDIN ZOTERO_ITEM CSL_CITATION {"citationID":"oCfzdMyx","properties":{"unsorted":false,"formattedCitation":"(Ahmad et\\uc0\\u160{}al., 2024)","plainCitation":"(Ahmad et al., 2024)","noteIndex":0},"citationItems":[{"id":594,"uris":["http://zotero.org/users/14068823/items/I536PBTT"],"itemData":{"id":594,"type":"article-journal","abstract":"Globally, topsoil in most agroecosystems is being increasingly eroded by intensive land use practices. In semi-arid regions, restoring topsoil is particularly an important cue to optimize soil multifunctionality, as the loss of soil organic carbon (SOC) is often accompanied by the loss of soil fertility. Here, we test the additive effects of different crop residue incorporation regimes on topsoil multifunctionality in a decade long field experiment on a maize-maize-potato cropping system. In each year, crop residues of a double maize rotation (Spring-Summer) were exposed to three contrasting managements, i.e., no residue incorporation (NRI), burnt residue incorporation (BRI) and raw residue incorporation (RRI), before planting a potato crop in the Fall. Our results showed a proportional increase in SOC stocks of up to 49–69% for RRI compared to BRI and NRI, respectively. Similarly, RRI also contributed to greater qualitative C stocks, such as particulate (PAOC) by 74–86% and mineral (MAOC) associated organic carbon by 63–107% than BRI and RRI. In contrast, BRI showed no discernible change in organic C stocks, but a significant destabilizing effect on soil pH, electrical conductivity (EC), and bulk density (BD). The water extractable organic carbon (WEOC) and the C-lability index were significantly reduced in BRI plots and consequently curtailed soil microbial activity and microbial biomass synthesis. Interestingly, BRI showed a decrease in P-acquiring enzymes compared to C- and N-cycling enzymes, possibly reflecting the different demand of soil microbes for different nutrients. In contrast, an ensured availability of C substrate by RRI significantly increased the population of cultivable microflora (e.g., bacteria, fungi, actinomycetes). Above all, RRI was very effective in improving soil ecosystem multifunctionality, as evidenced by improved soil structural stability due to greater C accumulation and stabilization, resulting in enhanced NPK availability, although the low soil structural stability index (SSI ≤ 3%) still highlights the pervasive risk of land degradation.","container-title":"Soil and Tillage Research","DOI":"10.1016/j.still.2024.106073","ISSN":"0167-1987","journalAbbreviation":"Soil and Tillage Research","page":"106073","source":"ScienceDirect","title":"Long-term raw crop residue but not burned residue incorporation improved soil multifunctionality in semi-arid agroecosystems","volume":"240","author":[{"family":"Ahmad","given":"Aqeel"},{"family":"Arif","given":"Muhammad Saleem"},{"family":"Shahzad","given":"Sher Muhammad"},{"family":"Yasmeen","given":"Tahira"},{"family":"Shakoor","given":"Awais"},{"family":"Iqbal","given":"Shahid"},{"family":"Riaz","given":"Asam"},{"family":"Zahid","given":"Anjum"},{"family":"Chapman","given":"Stephen James"}],"issued":{"date-parts":[["2024",8,1]]}}}],"schema":"https://github.com/citation-style-language/schema/raw/master/csl-citation.json"} </w:instrText>
      </w:r>
      <w:r w:rsidR="00BF791C">
        <w:rPr>
          <w:sz w:val="22"/>
        </w:rPr>
        <w:fldChar w:fldCharType="separate"/>
      </w:r>
      <w:r w:rsidR="00BF791C" w:rsidRPr="00BF791C">
        <w:rPr>
          <w:rFonts w:cs="Times New Roman"/>
          <w:sz w:val="22"/>
        </w:rPr>
        <w:t>(Ahmad et al., 2024)</w:t>
      </w:r>
      <w:r w:rsidR="00BF791C">
        <w:rPr>
          <w:sz w:val="22"/>
        </w:rPr>
        <w:fldChar w:fldCharType="end"/>
      </w:r>
      <w:r w:rsidRPr="00AF223D">
        <w:rPr>
          <w:sz w:val="22"/>
        </w:rPr>
        <w:t>. Together, these factors lead to a progressive decline in soil fertility, especially in arid and semi-arid regions</w:t>
      </w:r>
      <w:r w:rsidR="00BF791C">
        <w:rPr>
          <w:sz w:val="22"/>
        </w:rPr>
        <w:t xml:space="preserve"> </w:t>
      </w:r>
      <w:r w:rsidR="00BF791C">
        <w:rPr>
          <w:sz w:val="22"/>
        </w:rPr>
        <w:fldChar w:fldCharType="begin"/>
      </w:r>
      <w:r w:rsidR="00BF791C">
        <w:rPr>
          <w:sz w:val="22"/>
        </w:rPr>
        <w:instrText xml:space="preserve"> ADDIN ZOTERO_ITEM CSL_CITATION {"citationID":"DogVdI8g","properties":{"unsorted":false,"formattedCitation":"(Yin et\\uc0\\u160{}al., 2021)","plainCitation":"(Yin et al., 2021)","noteIndex":0},"citationItems":[{"id":593,"uris":["http://zotero.org/users/14068823/items/TXQYXKS3"],"itemData":{"id":593,"type":"article-journal","abstract":"Salinity and sodicity posing large risks to soil hydroecological functioning and agricultural production. However, a comprehensive investigating of the long-term salinity and sodicity dynamics and how these contribute to soil degradation risk and plant response in intensive irrigated agro-ecosystems is still scarce, especially in cold/arid agricultural regions. To quantify long-term soil degradation risk and plant response as driven by rainfall, irrigation and groundwater in seasonally-frozen arid regions, taking into account the influence of capillary flux from shallow brackish groundwater and annual soil freezing-thawing cycles and snowmelt infiltration to soil moisture (s), salinity (Cs) and sodicity (Ex), we coupled the Salt of the Earth (SOTE) model and the Wavelet Neural Network (WNN) model (i.e. SOTE-WNN model) as well as improved the Crop Response to the Soil Environment (ANSWER) model. The long-term dynamics of root zone s, Cs and Ex and therefore soil degradation risks and plant responses in irrigated agro-ecosystems in three different hydrological regions (i.e. ADFO: alluvial-diluvial-fan oasis; APOU: alluvial-plain oasis in the upper part; and APOL: alluvial-plain oasis in the lower part) in the Sangong River watershed (SRW) of northwestern China were investigated. The SOTE-WNN model was calibrated and validated using field comprehensive observations during April 2018–April 2021. The simulated results of root zone s, Cs and Ex resulted in a good agreement with the observed values in the SRW. Results showed that the s in the three hydrological regions has a similar periodic steady state with sawtooth pattern; the Cs is the largest in the APOL and corresponding the crop relative yield is the lowest; in the APOU the Ex is the largest and corresponding the soil degradation risk is the highest. Carried out sensitivity analysis revealed that the increase in rainfall and snowfall can clearly alleviate soil degradation by reducing soil alkalization in the root zone. The irrigation water quality is one of the primary controls on long-term dynamics of root zone s, Cs and Ex, and imposing adverse impact on soil hydraulic conductivity and agricultural crop productivity. The shallow groundwater table and quality have non-monotonic effects on the root zone s, Cs and Ex dynamics, the 2–3 m is the critical water table interval that limits soil salinization and alkalization hazards in the SRW. The results highlight that the trade-offs between irrigation water quality and water table need to be emphasized at appropriate spatial and temporal scales when promoting intensive irrigation practices in arid/cold climate regions.","container-title":"Journal of Hydrology","DOI":"10.1016/j.jhydrol.2021.127036","ISSN":"0022-1694","journalAbbreviation":"Journal of Hydrology","page":"127036","source":"ScienceDirect","title":"Induced soil degradation risks and plant responses by salinity and sodicity in intensive irrigated agro-ecosystems of seasonally-frozen arid regions","volume":"603","author":[{"family":"Yin","given":"Xinwei"},{"family":"Feng","given":"Qi"},{"family":"Li","given":"Yan"},{"family":"Liu","given":"Wei"},{"family":"Zhu","given":"Meng"},{"family":"Xu","given":"Guiqing"},{"family":"Zheng","given":"Xinjun"},{"family":"Sindikubwabo","given":"Celestin"}],"issued":{"date-parts":[["2021",12,1]]}}}],"schema":"https://github.com/citation-style-language/schema/raw/master/csl-citation.json"} </w:instrText>
      </w:r>
      <w:r w:rsidR="00BF791C">
        <w:rPr>
          <w:sz w:val="22"/>
        </w:rPr>
        <w:fldChar w:fldCharType="separate"/>
      </w:r>
      <w:r w:rsidR="00BF791C" w:rsidRPr="00BF791C">
        <w:rPr>
          <w:rFonts w:cs="Times New Roman"/>
          <w:sz w:val="22"/>
        </w:rPr>
        <w:t>(Yin et al., 2021)</w:t>
      </w:r>
      <w:r w:rsidR="00BF791C">
        <w:rPr>
          <w:sz w:val="22"/>
        </w:rPr>
        <w:fldChar w:fldCharType="end"/>
      </w:r>
      <w:r w:rsidRPr="00AF223D">
        <w:rPr>
          <w:sz w:val="22"/>
        </w:rPr>
        <w:t xml:space="preserve">. Among the most common degradation processes, soil salinization and </w:t>
      </w:r>
      <w:proofErr w:type="spellStart"/>
      <w:r w:rsidRPr="00AF223D">
        <w:rPr>
          <w:sz w:val="22"/>
        </w:rPr>
        <w:t>sodification</w:t>
      </w:r>
      <w:proofErr w:type="spellEnd"/>
      <w:r w:rsidRPr="00AF223D">
        <w:rPr>
          <w:sz w:val="22"/>
        </w:rPr>
        <w:t xml:space="preserve"> pose significant threats to agricultural productivity, environmental health, and socioeconomic stability</w:t>
      </w:r>
      <w:r w:rsidR="00BF791C">
        <w:rPr>
          <w:sz w:val="22"/>
        </w:rPr>
        <w:t xml:space="preserve"> </w:t>
      </w:r>
      <w:r w:rsidR="00BF791C">
        <w:rPr>
          <w:sz w:val="22"/>
        </w:rPr>
        <w:fldChar w:fldCharType="begin"/>
      </w:r>
      <w:r w:rsidR="00BF791C">
        <w:rPr>
          <w:sz w:val="22"/>
        </w:rPr>
        <w:instrText xml:space="preserve"> ADDIN ZOTERO_ITEM CSL_CITATION {"citationID":"gB7RfUeG","properties":{"unsorted":false,"formattedCitation":"(Ren et\\uc0\\u160{}al., 2019)","plainCitation":"(Ren et al., 2019)","noteIndex":0},"citationItems":[{"id":592,"uris":["http://zotero.org/users/14068823/items/FJC2Q2MX"],"itemData":{"id":592,"type":"article-journal","abstract":"Soil salinization is one of the most common land degradation processes that impacts agricultural production, environmental health, and economic welfare. The first task in managing soil salinity is to understand its spatiotemporal characteristics, causal factors and influences, both over large regions and within individual fields. In this study, a typical irrigated agro-ecosystem located in the upper Yellow River basin, suffering from long-term soil salinization problems, was selected as the case study area. Field sampling experiments and investigations related to soil layer salt content, groundwater, irrigation and ground elevation were carried out at three scales (field scale, canal scale and regional scale) covering both croplands and natural vegetation patches during 2016 and 2017. Spatiotemporal characteristics of soil salinity were analyzed for the three scales based on sampling data, remote sensing, geostatistical analysis and model simulation. Results showed that, at the regional scale, the soil salinity distribution was dominated by topography and groundwater depth; at the canal scale, it was dominated by irrigation and cropping pattern; at the field scale, it was dominated by micro-topography and the uniformity of field irrigation. Scale-dependent soil salinity management strategies should be adopted to maintain agricultural production and the sustainability of natural ecosystems. It can be concluded that using integrated approaches including multi scale soil sampling, model simulation and other modern techniques is an effective way for thorough understanding and management of soil salinity.","container-title":"Geoderma","DOI":"10.1016/j.geoderma.2019.113935","ISSN":"0016-7061","journalAbbreviation":"Geoderma","page":"113935","source":"ScienceDirect","title":"Analyzing spatiotemporal characteristics of soil salinity in arid irrigated agro-ecosystems using integrated approaches","volume":"356","author":[{"family":"Ren","given":"Dongyang"},{"family":"Wei","given":"Boyu"},{"family":"Xu","given":"Xu"},{"family":"Engel","given":"Bernard"},{"family":"Li","given":"Guangyong"},{"family":"Huang","given":"Quanzhong"},{"family":"Xiong","given":"Yunwu"},{"family":"Huang","given":"Guanhua"}],"issued":{"date-parts":[["2019",12,15]]}}}],"schema":"https://github.com/citation-style-language/schema/raw/master/csl-citation.json"} </w:instrText>
      </w:r>
      <w:r w:rsidR="00BF791C">
        <w:rPr>
          <w:sz w:val="22"/>
        </w:rPr>
        <w:fldChar w:fldCharType="separate"/>
      </w:r>
      <w:r w:rsidR="00BF791C" w:rsidRPr="00BF791C">
        <w:rPr>
          <w:rFonts w:cs="Times New Roman"/>
          <w:sz w:val="22"/>
        </w:rPr>
        <w:t>(Ren et al., 2019)</w:t>
      </w:r>
      <w:r w:rsidR="00BF791C">
        <w:rPr>
          <w:sz w:val="22"/>
        </w:rPr>
        <w:fldChar w:fldCharType="end"/>
      </w:r>
      <w:r w:rsidRPr="00AF223D">
        <w:rPr>
          <w:sz w:val="22"/>
        </w:rPr>
        <w:t>. Excess salinity affects more than 1 billion hectares across more than 100 countries</w:t>
      </w:r>
      <w:r w:rsidR="00BF791C">
        <w:rPr>
          <w:sz w:val="22"/>
        </w:rPr>
        <w:t xml:space="preserve"> </w:t>
      </w:r>
      <w:r w:rsidR="00BF791C">
        <w:rPr>
          <w:sz w:val="22"/>
        </w:rPr>
        <w:fldChar w:fldCharType="begin"/>
      </w:r>
      <w:r w:rsidR="00BF791C">
        <w:rPr>
          <w:sz w:val="22"/>
        </w:rPr>
        <w:instrText xml:space="preserve"> ADDIN ZOTERO_ITEM CSL_CITATION {"citationID":"fYugWZ6o","properties":{"unsorted":false,"formattedCitation":"(Singh, 2022)","plainCitation":"(Singh, 2022)","noteIndex":0},"citationItems":[{"id":595,"uris":["http://zotero.org/users/14068823/items/A4T3MVQQ"],"itemData":{"id":595,"type":"article-journal","abstract":"Soil is a vital resource for feeding the burgeoning global population, and it is also essential for realizing most of the ‘United Nations Sustainable Development Goals (SDGs)’. For example, it is vital to realizing the ‘Zero hunger (SDG2), Good health and well-being (SDG3), Clean water and sanitation (SDG6), and Life on land (SDG15)’. Excess salts present in the soil make it saline, and it poses a significant threat to agricultural production and environmental health. Soil salinity is an extensive problem and spreads over one billion hectares extended over 100 countries. This paper presents a comprehensive review of global soil salinity management through the applications of remote sensing and GIS. All possible sources of relevant and current literature were accessed and more than 260 publications were collected and carefully analysed, for this review. The rationale and severity of the salinity problem are provided. The impact of salinity on plant yield and the effect of climate change on soil salinity are detailed. The salinity indicators and salinity monitoring and mapping are provided, and the global cases of soil salinity management through remote sensing and GIS applications under different agro-hydro-climatic environments are discussed, followed by a summary of conclusions and challenges along with future research directions. The analysis of past investigations showed that remote sensing strategy might be a practical approach to adequately assess plant response such as evapotranspiration under diverse salinity environments, yet it additionally has various difficulties. The lower spatial and temporal resolution of imagery may reason errors because of subpixel heterogeneity. However, with the improvement of the better-resolution thermal infrared remote method, there is the possibility to spot spatial variations at a smaller scale.","container-title":"Soil Use and Management","DOI":"10.1111/sum.12772","ISSN":"1475-2743","issue":"1","language":"en","license":"© 2021 British Society of Soil Science","note":"_eprint: https://bsssjournals.onlinelibrary.wiley.com/doi/pdf/10.1111/sum.12772","page":"39-67","source":"Wiley Online Library","title":"Soil salinity: A global threat to sustainable development","title-short":"Soil salinity","volume":"38","author":[{"family":"Singh","given":"Ajay"}],"issued":{"date-parts":[["2022"]]}}}],"schema":"https://github.com/citation-style-language/schema/raw/master/csl-citation.json"} </w:instrText>
      </w:r>
      <w:r w:rsidR="00BF791C">
        <w:rPr>
          <w:sz w:val="22"/>
        </w:rPr>
        <w:fldChar w:fldCharType="separate"/>
      </w:r>
      <w:r w:rsidR="00BF791C" w:rsidRPr="00BF791C">
        <w:rPr>
          <w:rFonts w:cs="Times New Roman"/>
          <w:sz w:val="22"/>
        </w:rPr>
        <w:t>(Singh, 2022)</w:t>
      </w:r>
      <w:r w:rsidR="00BF791C">
        <w:rPr>
          <w:sz w:val="22"/>
        </w:rPr>
        <w:fldChar w:fldCharType="end"/>
      </w:r>
      <w:hyperlink r:id="rId7"/>
      <w:r w:rsidRPr="00AF223D">
        <w:rPr>
          <w:sz w:val="22"/>
        </w:rPr>
        <w:t>, limiting plant growth and reducing land productivity</w:t>
      </w:r>
      <w:r w:rsidR="00BF791C">
        <w:rPr>
          <w:sz w:val="22"/>
        </w:rPr>
        <w:t xml:space="preserve"> </w:t>
      </w:r>
      <w:r w:rsidR="00BF791C">
        <w:rPr>
          <w:sz w:val="22"/>
        </w:rPr>
        <w:fldChar w:fldCharType="begin"/>
      </w:r>
      <w:r w:rsidR="00BF791C">
        <w:rPr>
          <w:sz w:val="22"/>
        </w:rPr>
        <w:instrText xml:space="preserve"> ADDIN ZOTERO_ITEM CSL_CITATION {"citationID":"bh9aI9Vm","properties":{"unsorted":false,"formattedCitation":"(Ivushkin et\\uc0\\u160{}al., 2019)","plainCitation":"(Ivushkin et al., 2019)","noteIndex":0},"citationItems":[{"id":591,"uris":["http://zotero.org/users/14068823/items/H43R3G4X"],"itemData":{"id":591,"type":"article-journal","abstract":"Soil salinity increase is a serious and global threat to agricultural production. The only database that currently provides soil salinity data with global coverage is the Harmonized World Soil Database, but it has several limitations when it comes to soil salinity assessment. Therefore, a new assessment is required. We hypothesized that combining soil properties maps with thermal infrared imagery and a large set of field observations within a machine learning framework will yield a global soil salinity map. The thermal infrared imagery acts as a dynamic variable and allows us to characterize the soil salinity change. For this purpose we used Google Earth Engine computational environment. The random forest classifier was trained using 7 soil properties maps, thermal infrared imagery and the ECe point data from the WoSIS database. In total, six maps were produced for 1986, 2000, 2002, 2005, 2009, 2016. The validation accuracy of the resulting maps was in the range of 67–70%. The total area of salt affected lands by our assessment is around 1 billion hectares, with a clear increasing trend. Comparison with 3 studies investigating local trends of soil salinity change showed that our assessment was in correspondence with 2 of these studies. The global map of soil salinity change between 1986 and 2016 was produced to characterize the spatial distribution of the change. We conclude that combining soil properties maps and thermal infrared imagery allows mapping of soil salinity development in space and time on a global scale.","container-title":"Remote Sensing of Environment","DOI":"10.1016/j.rse.2019.111260","ISSN":"0034-4257","journalAbbreviation":"Remote Sensing of Environment","page":"111260","source":"ScienceDirect","title":"Global mapping of soil salinity change","volume":"231","author":[{"family":"Ivushkin","given":"Konstantin"},{"family":"Bartholomeus","given":"Harm"},{"family":"Bregt","given":"Arnold K."},{"family":"Pulatov","given":"Alim"},{"family":"Kempen","given":"Bas"},{"family":"Sousa","given":"Luis","non-dropping-particle":"de"}],"issued":{"date-parts":[["2019",9,15]]}}}],"schema":"https://github.com/citation-style-language/schema/raw/master/csl-citation.json"} </w:instrText>
      </w:r>
      <w:r w:rsidR="00BF791C">
        <w:rPr>
          <w:sz w:val="22"/>
        </w:rPr>
        <w:fldChar w:fldCharType="separate"/>
      </w:r>
      <w:r w:rsidR="00BF791C" w:rsidRPr="00BF791C">
        <w:rPr>
          <w:rFonts w:cs="Times New Roman"/>
          <w:sz w:val="22"/>
        </w:rPr>
        <w:t>(Ivushkin et al., 2019)</w:t>
      </w:r>
      <w:r w:rsidR="00BF791C">
        <w:rPr>
          <w:sz w:val="22"/>
        </w:rPr>
        <w:fldChar w:fldCharType="end"/>
      </w:r>
      <w:r w:rsidRPr="00AF223D">
        <w:rPr>
          <w:sz w:val="22"/>
        </w:rPr>
        <w:t>. These challenges are expected to increase with climate change, as climate projections indicate a substantial expansion of arid ecosystems throughout this century</w:t>
      </w:r>
      <w:r w:rsidR="00BF791C">
        <w:rPr>
          <w:sz w:val="22"/>
        </w:rPr>
        <w:t xml:space="preserve"> </w:t>
      </w:r>
      <w:r w:rsidR="00BF791C">
        <w:rPr>
          <w:sz w:val="22"/>
        </w:rPr>
        <w:fldChar w:fldCharType="begin"/>
      </w:r>
      <w:r w:rsidR="00BF791C">
        <w:rPr>
          <w:sz w:val="22"/>
        </w:rPr>
        <w:instrText xml:space="preserve"> ADDIN ZOTERO_ITEM CSL_CITATION {"citationID":"zTGLMB7c","properties":{"unsorted":false,"formattedCitation":"(Naorem et\\uc0\\u160{}al., 2023)","plainCitation":"(Naorem et al., 2023)","noteIndex":0},"citationItems":[{"id":590,"uris":["http://zotero.org/users/14068823/items/8254NUA7"],"itemData":{"id":590,"type":"article-journal","abstract":"Climate models project that many terrestrial ecosystems will become drier over the course of this century, leading to a drastic increase in the global extent of arid soils. In order to decrease the effects of climate change on global food security, it is crucial to understand the arid environment and the constraints associated with arid soils. Although the effects of aridity on aboveground organisms have been studied extensively, our understanding of how it affects soil processes and nutrient cycling is lacking. One of the primary agricultural constraints, particularly in arid locations, is water scarcity, due to which arid soils are characterized by sparse vegetation cover, low soil organic carbon, poor soil structure, reduced soil biodiversity, and a high rate of soil erosion via wind. Increased aridity will limit the availability of essential plant nutrients and crop growth, and subsequently pose serious threats to key ecological processes and services. The increasing rate of soil salinization is another major environmental hazard that further limits the agricultural potential of arid soils. These soil constraints can be ameliorated and the crop yields increased through case-specific optimization of irrigation and drainage management, enhancing the native beneficial soil microbes, and combinations of soil amendments, conditioners, and residue management. This review explores technologies to ameliorate soil constraints and increase yields to maintain crop output in arid soils.","container-title":"Agronomy","DOI":"10.3390/agronomy13010220","ISSN":"2073-4395","issue":"1","language":"en","license":"http://creativecommons.org/licenses/by/3.0/","page":"220","publisher":"Multidisciplinary Digital Publishing Institute","source":"www.mdpi.com","title":"Soil Constraints in an Arid Environment—Challenges, Prospects, and Implications","volume":"13","author":[{"family":"Naorem","given":"Anandkumar"},{"family":"Jayaraman","given":"Somasundaram"},{"family":"Dang","given":"Yash P."},{"family":"Dalal","given":"Ram C."},{"family":"Sinha","given":"Nishant K."},{"family":"Rao","given":"Ch Srinivasa"},{"family":"Patra","given":"Ashok K."}],"issued":{"date-parts":[["2023",1]]}}}],"schema":"https://github.com/citation-style-language/schema/raw/master/csl-citation.json"} </w:instrText>
      </w:r>
      <w:r w:rsidR="00BF791C">
        <w:rPr>
          <w:sz w:val="22"/>
        </w:rPr>
        <w:fldChar w:fldCharType="separate"/>
      </w:r>
      <w:r w:rsidR="00BF791C" w:rsidRPr="00BF791C">
        <w:rPr>
          <w:rFonts w:cs="Times New Roman"/>
          <w:sz w:val="22"/>
        </w:rPr>
        <w:t>(Naorem et al., 2023)</w:t>
      </w:r>
      <w:r w:rsidR="00BF791C">
        <w:rPr>
          <w:sz w:val="22"/>
        </w:rPr>
        <w:fldChar w:fldCharType="end"/>
      </w:r>
      <w:r w:rsidRPr="00AF223D">
        <w:rPr>
          <w:sz w:val="22"/>
        </w:rPr>
        <w:t xml:space="preserve">. The outcome will heighten the susceptibility of agricultural soils to salt accumulation. In this context, understanding the spatial patterns and factors that control soil salinity and </w:t>
      </w:r>
      <w:proofErr w:type="spellStart"/>
      <w:r w:rsidRPr="00AF223D">
        <w:rPr>
          <w:sz w:val="22"/>
        </w:rPr>
        <w:t>sodicity</w:t>
      </w:r>
      <w:proofErr w:type="spellEnd"/>
      <w:r w:rsidRPr="00AF223D">
        <w:rPr>
          <w:sz w:val="22"/>
        </w:rPr>
        <w:t xml:space="preserve"> is essential for designing effective and sustainable management strategies</w:t>
      </w:r>
      <w:r w:rsidR="00BF791C">
        <w:rPr>
          <w:sz w:val="22"/>
        </w:rPr>
        <w:t xml:space="preserve"> </w:t>
      </w:r>
      <w:r w:rsidR="00BF791C">
        <w:rPr>
          <w:sz w:val="22"/>
        </w:rPr>
        <w:fldChar w:fldCharType="begin"/>
      </w:r>
      <w:r w:rsidR="00BF791C">
        <w:rPr>
          <w:sz w:val="22"/>
        </w:rPr>
        <w:instrText xml:space="preserve"> ADDIN ZOTERO_ITEM CSL_CITATION {"citationID":"t5sBSYgG","properties":{"unsorted":false,"formattedCitation":"(Mao et\\uc0\\u160{}al., 2018)","plainCitation":"(Mao et al., 2018)","noteIndex":0},"citationItems":[{"id":589,"uris":["http://zotero.org/users/14068823/items/JK2AXW2I"],"itemData":{"id":589,"type":"article-journal","abstract":"Quantified information on land degradation and restoration is needed to support policies for sustainable ecosystem management and socioeconomic development. The arid and semiarid zones of China (ASZC) have experienced significant land degradation, and in response to such degradation, multiple ecological projects were implemented. In this study, remote sensing was used to identify degrading areas and where the degraded areas have been restored from 1990 in this ecologically sensitive region. Specifically, we integrated datasets from the ChinaCover and Moderate Resolution Imaging Spectroradiometer products to characterize changes in vegetation, ecosystems, and environmental conditions. The results confirmed that deforestation, desertification, grassland degradation, wetland loss, and the encroachment upon farmlands were notable in the ASZC. Agricultural activity has cultivated extensive areas of natural ecosystems (46,474 km2). The expansion of built-up lands in terms of national policies has destroyed large areas of natural (5,487 km2) and agricultural (4,138 km2) ecosystems and continually results in negative impacts on ecological conservation. China has restored some lands (7,732 km2 from farmlands and 24,904 km2 from barren lands) and improved ecosystems, as characterized by increases in the normalized different vegetation index, leaf area index, net primary productivity, and gross primary productivity values in the ASZC, especially after the implementation of many ecological projects. However, it is also necessary to document the conclusions and lessons from these projects to guide future ecological policies and projects in the context of the substantial new challenges facing the protection of this ecologically sensitive environment.","container-title":"Land Degradation &amp; Development","DOI":"10.1002/ldr.3135","ISSN":"1099-145X","issue":"11","language":"en","license":"© 2018 John Wiley &amp; Sons, Ltd.","note":"_eprint: https://onlinelibrary.wiley.com/doi/pdf/10.1002/ldr.3135","page":"3841-3851","source":"Wiley Online Library","title":"Land degradation and restoration in the arid and semiarid zones of China: Quantified evidence and implications from satellites","title-short":"Land degradation and restoration in the arid and semiarid zones of China","volume":"29","author":[{"family":"Mao","given":"Dehua"},{"family":"Wang","given":"Zongming"},{"family":"Wu","given":"Bingfang"},{"family":"Zeng","given":"Yuan"},{"family":"Luo","given":"Ling"},{"family":"Zhang","given":"Bai"}],"issued":{"date-parts":[["2018"]]}}}],"schema":"https://github.com/citation-style-language/schema/raw/master/csl-citation.json"} </w:instrText>
      </w:r>
      <w:r w:rsidR="00BF791C">
        <w:rPr>
          <w:sz w:val="22"/>
        </w:rPr>
        <w:fldChar w:fldCharType="separate"/>
      </w:r>
      <w:r w:rsidR="00BF791C" w:rsidRPr="00BF791C">
        <w:rPr>
          <w:rFonts w:cs="Times New Roman"/>
          <w:sz w:val="22"/>
        </w:rPr>
        <w:t>(Mao et al., 2018)</w:t>
      </w:r>
      <w:r w:rsidR="00BF791C">
        <w:rPr>
          <w:sz w:val="22"/>
        </w:rPr>
        <w:fldChar w:fldCharType="end"/>
      </w:r>
      <w:r w:rsidRPr="00AF223D">
        <w:rPr>
          <w:sz w:val="22"/>
        </w:rPr>
        <w:t>.</w:t>
      </w:r>
    </w:p>
    <w:p w14:paraId="074F7375" w14:textId="6BFEB884" w:rsidR="003B41E9" w:rsidRPr="00AF223D" w:rsidRDefault="00000000">
      <w:pPr>
        <w:rPr>
          <w:sz w:val="22"/>
        </w:rPr>
      </w:pPr>
      <w:r w:rsidRPr="00AF223D">
        <w:rPr>
          <w:sz w:val="22"/>
        </w:rPr>
        <w:t>Despite growing awareness of soil degradation and salinization as major threats to agricultural productivity, traditional approaches to assessing soil fertility remain limited in their ability to capture the spatial variability of soil properties. Fertilization is often applied uniformly across fields, assuming that soil conditions are homogeneous, resulting in inefficient nutrient use. Soil chemical properties exhibit remarkable spatial heterogeneity at multiple scales, which is difficult to characterize even with intensive sampling and laboratory analysis</w:t>
      </w:r>
      <w:r w:rsidR="007B49E5">
        <w:rPr>
          <w:sz w:val="22"/>
        </w:rPr>
        <w:t xml:space="preserve"> </w:t>
      </w:r>
      <w:r w:rsidR="007B49E5">
        <w:rPr>
          <w:sz w:val="22"/>
        </w:rPr>
        <w:fldChar w:fldCharType="begin"/>
      </w:r>
      <w:r w:rsidR="007B49E5">
        <w:rPr>
          <w:sz w:val="22"/>
        </w:rPr>
        <w:instrText xml:space="preserve"> ADDIN ZOTERO_ITEM CSL_CITATION {"citationID":"wCKGIY3e","properties":{"unsorted":false,"formattedCitation":"(Lawrence et\\uc0\\u160{}al., 2020)","plainCitation":"(Lawrence et al., 2020)","noteIndex":0},"citationItems":[{"id":588,"uris":["http://zotero.org/users/14068823/items/8HHI65XB"],"itemData":{"id":588,"type":"article-journal","abstract":"Soil analysis is a key practice to increase the efficiency of nutrient management in agriculture. Since the early 20th century, increasingly sophisticated methods have been developed to describe and manipulate the inherent spatial variability in soil chemical properties within the realms of classical and spatial statistics. In this paper, we reviewed design-based (classical) and model-based (geostatistical) sampling to suggest field-scale sampling strategies consistent with common agronomic management goals in annual crop production systems. To assess the relevance of common sampling methods in relation to practice, current extension recommendations across the United States were compared with results from peer-reviewed literature. Despite decades of research, specific recommendations for sample sizes, sampling depths, numbers of soil cores, and layouts were highly variable for classical and geostatistical approaches. Mobile nutrients, such as NO3, are frequently lacking in spatial structure and rarely are recommended for site-specific management. Nonmobile nutrients, such as P, are more spatially dependent and exhibit nested spatial structures that are inconsistent across fields. For these reasons, we recommend design-based sampling in most situations for simplicity, cost, and objectivity. The common design-based sampling protocol prescribes collection of individual cores in a zig-zag pattern that are combined to produce a composite sample. This protocol should be amended because it is not sufficiently randomized and is inadequate for log-normally distributed variables. To facilitate site-specific management, we recommend structured approaches for delineating management zones or strata and for researchers to systematically enumerate confounding variables while explicitly defining the scope of inference for future soil sampling studies.","container-title":"Agronomy Journal","DOI":"10.1002/agj2.20048","ISSN":"1435-0645","issue":"1","language":"en","license":"© 2020 The Authors. Agronomy Journal published by Wiley Periodicals, Inc. on behalf of American Society of Agronomy","note":"_eprint: https://acsess.onlinelibrary.wiley.com/doi/pdf/10.1002/agj2.20048","page":"493-510","source":"Wiley Online Library","title":"Guiding soil sampling strategies using classical and spatial statistics: A review","title-short":"Guiding soil sampling strategies using classical and spatial statistics","volume":"112","author":[{"family":"Lawrence","given":"Patrick G."},{"family":"Roper","given":"Wayne"},{"family":"Morris","given":"Thomas F."},{"family":"Guillard","given":"Karl"}],"issued":{"date-parts":[["2020"]]}}}],"schema":"https://github.com/citation-style-language/schema/raw/master/csl-citation.json"} </w:instrText>
      </w:r>
      <w:r w:rsidR="007B49E5">
        <w:rPr>
          <w:sz w:val="22"/>
        </w:rPr>
        <w:fldChar w:fldCharType="separate"/>
      </w:r>
      <w:r w:rsidR="007B49E5" w:rsidRPr="007B49E5">
        <w:rPr>
          <w:rFonts w:cs="Times New Roman"/>
          <w:sz w:val="22"/>
        </w:rPr>
        <w:t>(Lawrence et al., 2020)</w:t>
      </w:r>
      <w:r w:rsidR="007B49E5">
        <w:rPr>
          <w:sz w:val="22"/>
        </w:rPr>
        <w:fldChar w:fldCharType="end"/>
      </w:r>
      <w:r w:rsidRPr="00AF223D">
        <w:rPr>
          <w:sz w:val="22"/>
        </w:rPr>
        <w:t>. In addition, traditional soil assessment methods, including laboratory-based soil quality indices, are labor-intensive and costly, limiting their use for large-scale monitoring</w:t>
      </w:r>
      <w:r w:rsidR="007B49E5">
        <w:rPr>
          <w:sz w:val="22"/>
        </w:rPr>
        <w:t xml:space="preserve"> </w:t>
      </w:r>
      <w:r w:rsidR="007B49E5">
        <w:rPr>
          <w:sz w:val="22"/>
        </w:rPr>
        <w:fldChar w:fldCharType="begin"/>
      </w:r>
      <w:r w:rsidR="007B49E5">
        <w:rPr>
          <w:sz w:val="22"/>
        </w:rPr>
        <w:instrText xml:space="preserve"> ADDIN ZOTERO_ITEM CSL_CITATION {"citationID":"OloYu7oj","properties":{"unsorted":false,"formattedCitation":"(Chaudhry et\\uc0\\u160{}al., 2024)","plainCitation":"(Chaudhry et al., 2024)","noteIndex":0},"citationItems":[{"id":587,"uris":["http://zotero.org/users/14068823/items/NYMMYYFM"],"itemData":{"id":587,"type":"article-journal","abstract":"Soil health plays a crucial role in crop production, both in terms of quality and quantity, highlighting the importance of effective methods for preserving soil quality to ensure global food security. Soil quality indices (SQIs) have been widely utilized as comprehensive measures of soil function by integrating multiple physical, chemical, and biological soil properties. Traditional SQI analysis involves laborious and costly laboratory analyses, which limits its practicality. To overcome this limitation, our study explores the use of visible near-infrared (vis-NIR) spectroscopy as a rapid and non-destructive alternative for predicting soil properties and SQIs. This study specifically focused on seven soil indicators that contribute to soil fertility, including pH, organic matter (OM), potassium (K), calcium (Ca), magnesium (Mg), available phosphorous (P), and total nitrogen (TN). These properties play key roles in nutrient availability, pH regulation, and soil structure, influencing soil fertility and overall soil health. By utilizing vis-NIR spectroscopy, we were able to accurately predict the soil indicators with good accuracy using the Cubist model (R2 = 0.35–0.93), offering a cost-effective and environmentally friendly alternative to traditional laboratory analyses. Using the seven soil indicators, we looked at three different approaches for calculating and predicting the SQI, including: (1) measured SQI (SQI_m), which is derived from laboratory-measured soil properties; (2) predicted SQI (SQI_p), which is calculated using predicted soil properties from spectral data; and (3) direct prediction of SQI (SQI_dp), The findings demonstrated that SQI_dp exhibited a higher accuracy (R2 = 0.90) in predicting soil quality compared to SQI_p (R2 = 0.23).","container-title":"Sensors","DOI":"10.3390/s24030864","ISSN":"1424-8220","issue":"3","language":"en","license":"http://creativecommons.org/licenses/by/3.0/","page":"864","publisher":"Multidisciplinary Digital Publishing Institute","source":"www.mdpi.com","title":"Evaluating the Soil Quality Index Using Three Methods to Assess Soil Fertility","volume":"24","author":[{"family":"Chaudhry","given":"Hiba"},{"family":"Vasava","given":"Hiteshkumar Bhogilal"},{"family":"Chen","given":"Songchao"},{"family":"Saurette","given":"Daniel"},{"family":"Beri","given":"Anshu"},{"family":"Gillespie","given":"Adam"},{"family":"Biswas","given":"Asim"}],"issued":{"date-parts":[["2024",1]]}}}],"schema":"https://github.com/citation-style-language/schema/raw/master/csl-citation.json"} </w:instrText>
      </w:r>
      <w:r w:rsidR="007B49E5">
        <w:rPr>
          <w:sz w:val="22"/>
        </w:rPr>
        <w:fldChar w:fldCharType="separate"/>
      </w:r>
      <w:r w:rsidR="007B49E5" w:rsidRPr="007B49E5">
        <w:rPr>
          <w:rFonts w:cs="Times New Roman"/>
          <w:sz w:val="22"/>
        </w:rPr>
        <w:t>(Chaudhry et al., 2024)</w:t>
      </w:r>
      <w:r w:rsidR="007B49E5">
        <w:rPr>
          <w:sz w:val="22"/>
        </w:rPr>
        <w:fldChar w:fldCharType="end"/>
      </w:r>
      <w:r w:rsidRPr="00AF223D">
        <w:rPr>
          <w:sz w:val="22"/>
        </w:rPr>
        <w:t xml:space="preserve">. Traditional salinity monitoring relies on measurements taken at specific locations and times, making it difficult to see broader patterns of soil degradation </w:t>
      </w:r>
      <w:r w:rsidR="007B49E5">
        <w:rPr>
          <w:sz w:val="22"/>
        </w:rPr>
        <w:fldChar w:fldCharType="begin"/>
      </w:r>
      <w:r w:rsidR="007B49E5">
        <w:rPr>
          <w:sz w:val="22"/>
        </w:rPr>
        <w:instrText xml:space="preserve"> ADDIN ZOTERO_ITEM CSL_CITATION {"citationID":"i4NqH8Db","properties":{"unsorted":false,"formattedCitation":"(Singh, 2022)","plainCitation":"(Singh, 2022)","noteIndex":0},"citationItems":[{"id":595,"uris":["http://zotero.org/users/14068823/items/A4T3MVQQ"],"itemData":{"id":595,"type":"article-journal","abstract":"Soil is a vital resource for feeding the burgeoning global population, and it is also essential for realizing most of the ‘United Nations Sustainable Development Goals (SDGs)’. For example, it is vital to realizing the ‘Zero hunger (SDG2), Good health and well-being (SDG3), Clean water and sanitation (SDG6), and Life on land (SDG15)’. Excess salts present in the soil make it saline, and it poses a significant threat to agricultural production and environmental health. Soil salinity is an extensive problem and spreads over one billion hectares extended over 100 countries. This paper presents a comprehensive review of global soil salinity management through the applications of remote sensing and GIS. All possible sources of relevant and current literature were accessed and more than 260 publications were collected and carefully analysed, for this review. The rationale and severity of the salinity problem are provided. The impact of salinity on plant yield and the effect of climate change on soil salinity are detailed. The salinity indicators and salinity monitoring and mapping are provided, and the global cases of soil salinity management through remote sensing and GIS applications under different agro-hydro-climatic environments are discussed, followed by a summary of conclusions and challenges along with future research directions. The analysis of past investigations showed that remote sensing strategy might be a practical approach to adequately assess plant response such as evapotranspiration under diverse salinity environments, yet it additionally has various difficulties. The lower spatial and temporal resolution of imagery may reason errors because of subpixel heterogeneity. However, with the improvement of the better-resolution thermal infrared remote method, there is the possibility to spot spatial variations at a smaller scale.","container-title":"Soil Use and Management","DOI":"10.1111/sum.12772","ISSN":"1475-2743","issue":"1","language":"en","license":"© 2021 British Society of Soil Science","note":"_eprint: https://bsssjournals.onlinelibrary.wiley.com/doi/pdf/10.1111/sum.12772","page":"39-67","source":"Wiley Online Library","title":"Soil salinity: A global threat to sustainable development","title-short":"Soil salinity","volume":"38","author":[{"family":"Singh","given":"Ajay"}],"issued":{"date-parts":[["2022"]]}}}],"schema":"https://github.com/citation-style-language/schema/raw/master/csl-citation.json"} </w:instrText>
      </w:r>
      <w:r w:rsidR="007B49E5">
        <w:rPr>
          <w:sz w:val="22"/>
        </w:rPr>
        <w:fldChar w:fldCharType="separate"/>
      </w:r>
      <w:r w:rsidR="007B49E5" w:rsidRPr="00BF791C">
        <w:rPr>
          <w:rFonts w:cs="Times New Roman"/>
          <w:sz w:val="22"/>
        </w:rPr>
        <w:t>(Singh, 2022)</w:t>
      </w:r>
      <w:r w:rsidR="007B49E5">
        <w:rPr>
          <w:sz w:val="22"/>
        </w:rPr>
        <w:fldChar w:fldCharType="end"/>
      </w:r>
      <w:r w:rsidRPr="00AF223D">
        <w:rPr>
          <w:sz w:val="22"/>
        </w:rPr>
        <w:t xml:space="preserve">. </w:t>
      </w:r>
      <w:r w:rsidR="00567061" w:rsidRPr="00AF223D">
        <w:rPr>
          <w:sz w:val="22"/>
        </w:rPr>
        <w:t xml:space="preserve">Although remote sensing and GIS have proven effective for mapping soil salinity over large areas </w:t>
      </w:r>
      <w:r w:rsidR="007B49E5">
        <w:rPr>
          <w:sz w:val="22"/>
        </w:rPr>
        <w:fldChar w:fldCharType="begin"/>
      </w:r>
      <w:r w:rsidR="007B49E5">
        <w:rPr>
          <w:sz w:val="22"/>
        </w:rPr>
        <w:instrText xml:space="preserve"> ADDIN ZOTERO_ITEM CSL_CITATION {"citationID":"hzTgLe9M","properties":{"unsorted":false,"formattedCitation":"(Singh, 2022)","plainCitation":"(Singh, 2022)","noteIndex":0},"citationItems":[{"id":595,"uris":["http://zotero.org/users/14068823/items/A4T3MVQQ"],"itemData":{"id":595,"type":"article-journal","abstract":"Soil is a vital resource for feeding the burgeoning global population, and it is also essential for realizing most of the ‘United Nations Sustainable Development Goals (SDGs)’. For example, it is vital to realizing the ‘Zero hunger (SDG2), Good health and well-being (SDG3), Clean water and sanitation (SDG6), and Life on land (SDG15)’. Excess salts present in the soil make it saline, and it poses a significant threat to agricultural production and environmental health. Soil salinity is an extensive problem and spreads over one billion hectares extended over 100 countries. This paper presents a comprehensive review of global soil salinity management through the applications of remote sensing and GIS. All possible sources of relevant and current literature were accessed and more than 260 publications were collected and carefully analysed, for this review. The rationale and severity of the salinity problem are provided. The impact of salinity on plant yield and the effect of climate change on soil salinity are detailed. The salinity indicators and salinity monitoring and mapping are provided, and the global cases of soil salinity management through remote sensing and GIS applications under different agro-hydro-climatic environments are discussed, followed by a summary of conclusions and challenges along with future research directions. The analysis of past investigations showed that remote sensing strategy might be a practical approach to adequately assess plant response such as evapotranspiration under diverse salinity environments, yet it additionally has various difficulties. The lower spatial and temporal resolution of imagery may reason errors because of subpixel heterogeneity. However, with the improvement of the better-resolution thermal infrared remote method, there is the possibility to spot spatial variations at a smaller scale.","container-title":"Soil Use and Management","DOI":"10.1111/sum.12772","ISSN":"1475-2743","issue":"1","language":"en","license":"© 2021 British Society of Soil Science","note":"_eprint: https://bsssjournals.onlinelibrary.wiley.com/doi/pdf/10.1111/sum.12772","page":"39-67","source":"Wiley Online Library","title":"Soil salinity: A global threat to sustainable development","title-short":"Soil salinity","volume":"38","author":[{"family":"Singh","given":"Ajay"}],"issued":{"date-parts":[["2022"]]}}}],"schema":"https://github.com/citation-style-language/schema/raw/master/csl-citation.json"} </w:instrText>
      </w:r>
      <w:r w:rsidR="007B49E5">
        <w:rPr>
          <w:sz w:val="22"/>
        </w:rPr>
        <w:fldChar w:fldCharType="separate"/>
      </w:r>
      <w:r w:rsidR="007B49E5" w:rsidRPr="00BF791C">
        <w:rPr>
          <w:rFonts w:cs="Times New Roman"/>
          <w:sz w:val="22"/>
        </w:rPr>
        <w:t>(Singh, 2022)</w:t>
      </w:r>
      <w:r w:rsidR="007B49E5">
        <w:rPr>
          <w:sz w:val="22"/>
        </w:rPr>
        <w:fldChar w:fldCharType="end"/>
      </w:r>
      <w:r w:rsidRPr="00AF223D">
        <w:rPr>
          <w:sz w:val="22"/>
        </w:rPr>
        <w:t xml:space="preserve">, </w:t>
      </w:r>
      <w:r w:rsidR="00567061" w:rsidRPr="00AF223D">
        <w:rPr>
          <w:sz w:val="22"/>
        </w:rPr>
        <w:t>their integration with machine learning and spatial predictive modelling for comprehensive soil quality assessment and site-specific soil management remains limited</w:t>
      </w:r>
      <w:r w:rsidR="007B49E5">
        <w:rPr>
          <w:sz w:val="22"/>
        </w:rPr>
        <w:t xml:space="preserve"> </w:t>
      </w:r>
      <w:r w:rsidR="007B49E5">
        <w:rPr>
          <w:sz w:val="22"/>
        </w:rPr>
        <w:fldChar w:fldCharType="begin"/>
      </w:r>
      <w:r w:rsidR="007B49E5">
        <w:rPr>
          <w:sz w:val="22"/>
        </w:rPr>
        <w:instrText xml:space="preserve"> ADDIN ZOTERO_ITEM CSL_CITATION {"citationID":"qBDsoR6q","properties":{"unsorted":false,"formattedCitation":"(Padarian et\\uc0\\u160{}al., 2020)","plainCitation":"(Padarian et al., 2020)","noteIndex":0},"citationItems":[{"id":586,"uris":["http://zotero.org/users/14068823/items/6XH82M6Q"],"itemData":{"id":586,"type":"article-journal","abstract":"The application of machine learning (ML) techniques in various fields of science has increased rapidly, especially in the last 10 years. The increasing availability of soil data that can be efficiently acquired remotely and proximally, and freely available open-source algorithms, have led to an accelerated adoption of ML techniques to analyse soil data. Given the large number of publications, it is an impossible task to manually review all papers on the application of ML in soil science without narrowing down a narrative of ML application in a specific research question. This paper aims to provide a comprehensive review of the application of ML techniques in soil science aided by a ML algorithm (latent Dirichlet allocation) to find patterns in a large collection of text corpora. The objective is to gain insight into publications of ML applications in soil science and to discuss the research gaps in this topic. We found that (a) there is an increasing usage of ML methods in soil sciences, mostly concentrated in developed countries, (b) the reviewed publications can be grouped into 12 topics, namely remote sensing, soil organic carbon, water, contamination, methods (ensembles), erosion and parent material, methods (NN, neural networks, SVM, support vector machines), spectroscopy, modelling (classes), crops, physical, and modelling (continuous), and (c) advanced ML methods usually perform better than simpler approaches thanks to their capability to capture non-linear relationships. From these findings, we found research gaps, in particular, about the precautions that should be taken (parsimony) to avoid overfitting, and that the interpretability of the ML models is an important aspect to consider when applying advanced ML methods in order to improve our knowledge and understanding of soil. We foresee that a large number of studies will focus on the latter topic.","container-title":"SOIL","DOI":"10.5194/soil-6-35-2020","ISSN":"2199-3971","issue":"1","language":"English","page":"35-52","publisher":"Copernicus GmbH","source":"Copernicus Online Journals","title":"Machine learning and soil sciences: a review aided by machine learning tools","title-short":"Machine learning and soil sciences","volume":"6","author":[{"family":"Padarian","given":"José"},{"family":"Minasny","given":"Budiman"},{"family":"McBratney","given":"Alex B."}],"issued":{"date-parts":[["2020",2,6]]}}}],"schema":"https://github.com/citation-style-language/schema/raw/master/csl-citation.json"} </w:instrText>
      </w:r>
      <w:r w:rsidR="007B49E5">
        <w:rPr>
          <w:sz w:val="22"/>
        </w:rPr>
        <w:fldChar w:fldCharType="separate"/>
      </w:r>
      <w:r w:rsidR="007B49E5" w:rsidRPr="007B49E5">
        <w:rPr>
          <w:rFonts w:cs="Times New Roman"/>
          <w:sz w:val="22"/>
        </w:rPr>
        <w:t>(Padarian et al., 2020)</w:t>
      </w:r>
      <w:r w:rsidR="007B49E5">
        <w:rPr>
          <w:sz w:val="22"/>
        </w:rPr>
        <w:fldChar w:fldCharType="end"/>
      </w:r>
      <w:r w:rsidRPr="00AF223D">
        <w:rPr>
          <w:sz w:val="22"/>
        </w:rPr>
        <w:t>.</w:t>
      </w:r>
    </w:p>
    <w:p w14:paraId="0E0D0F1F" w14:textId="3BC5B9AD" w:rsidR="003B41E9" w:rsidRPr="00AF223D" w:rsidRDefault="00000000">
      <w:pPr>
        <w:rPr>
          <w:sz w:val="22"/>
        </w:rPr>
      </w:pPr>
      <w:r w:rsidRPr="00AF223D">
        <w:rPr>
          <w:sz w:val="22"/>
        </w:rPr>
        <w:t>The mounting evidence of soil degradation and loss of functional capacity has driven the development of integrated soil quality indices (SQI), designed to synthesize physical, chemical and biological attributes into interpretable metrics of a soil’s capacity to sustain productivity, regulate hydrological processes and maintain environmental quality</w:t>
      </w:r>
      <w:r w:rsidR="006E7EED">
        <w:rPr>
          <w:sz w:val="22"/>
        </w:rPr>
        <w:t xml:space="preserve"> </w:t>
      </w:r>
      <w:r w:rsidR="006E7EED">
        <w:rPr>
          <w:sz w:val="22"/>
        </w:rPr>
        <w:fldChar w:fldCharType="begin"/>
      </w:r>
      <w:r w:rsidR="006E7EED">
        <w:rPr>
          <w:sz w:val="22"/>
        </w:rPr>
        <w:instrText xml:space="preserve"> ADDIN ZOTERO_ITEM CSL_CITATION {"citationID":"EzCiejsd","properties":{"unsorted":false,"formattedCitation":"(Doran &amp; Zeiss, 2000)","plainCitation":"(Doran &amp; Zeiss, 2000)","noteIndex":0},"citationItems":[{"id":481,"uris":["http://zotero.org/users/14068823/items/6BUQV8AG"],"itemData":{"id":481,"type":"article-journal","abstract":"Soil health is the capacity of soil to function as a vital living system, within ecosystem and land-use boundaries, to sustain plant and animal productivity, maintain or enhance water and air quality, and promote plant and animal health. Anthropogenic reductions in soil health, and of individual components of soil quality, are a pressing ecological concern. A conference entitled ‘Soil Health: Managing the Biological Component of Soil Quality’ was held was held in the USA in November 1998 to help increase awareness of the importance and utility of soil organisms as indicators of soil quality and determinants of soil health. To evaluate sustainability of agricultural practices, assessment of soil health using various indicators of soil quality is needed. Soil organism and biotic parameters (e.g. abundance, diversity, food web structure, or community stability) meet most of the five criteria for useful indicators of soil quality. Soil organisms respond sensitively to land management practices and climate. They are well correlated with beneficial soil and ecosystem functions including water storage, decomposition and nutrient cycling, detoxification of toxicants, and suppression of noxious and pathogenic organisms. Soil organisms also illustrate the chain of cause and effect that links land management decisions to ultimate productivity and health of plants and animals. Indicators must be comprehensible and useful to land managers, who are the ultimate stewards of soil quality and soil health. Visible organisms such as earthworms, insects, and molds have historically met this criterion. Finally, indicators must be easy and inexpensive to measure, but the need for knowledge of taxonomy complicates the measurement of soil organisms. Several farmer-participatory programs for managing soil quality and health have incorporated abiotic and simple biotic indicators. The challenge for the future is to develop sustainable management systems which are the vanguard of soil health; soil quality indicators are merely a means towards this end.","collection-title":"Special issue: Managing the Biotic component of Soil Quality","container-title":"Applied Soil Ecology","DOI":"10.1016/S0929-1393(00)00067-6","ISSN":"0929-1393","issue":"1","journalAbbreviation":"Applied Soil Ecology","page":"3-11","source":"ScienceDirect","title":"Soil health and sustainability: managing the biotic component of soil quality","title-short":"Soil health and sustainability","volume":"15","author":[{"family":"Doran","given":"John W."},{"family":"Zeiss","given":"Michael R."}],"issued":{"date-parts":[["2000",8,1]]}}}],"schema":"https://github.com/citation-style-language/schema/raw/master/csl-citation.json"} </w:instrText>
      </w:r>
      <w:r w:rsidR="006E7EED">
        <w:rPr>
          <w:sz w:val="22"/>
        </w:rPr>
        <w:fldChar w:fldCharType="separate"/>
      </w:r>
      <w:r w:rsidR="006E7EED" w:rsidRPr="006E7EED">
        <w:rPr>
          <w:rFonts w:cs="Times New Roman"/>
          <w:sz w:val="22"/>
        </w:rPr>
        <w:t>(Doran &amp; Zeiss, 2000)</w:t>
      </w:r>
      <w:r w:rsidR="006E7EED">
        <w:rPr>
          <w:sz w:val="22"/>
        </w:rPr>
        <w:fldChar w:fldCharType="end"/>
      </w:r>
      <w:hyperlink r:id="rId8"/>
      <w:r w:rsidRPr="00AF223D">
        <w:rPr>
          <w:sz w:val="22"/>
        </w:rPr>
        <w:t>. Recent studies indicate that assessing soil health with composite indicators is central to improving input-use efficiency and advancing resilient agricultural systems</w:t>
      </w:r>
      <w:r w:rsidR="006E7EED">
        <w:rPr>
          <w:sz w:val="22"/>
        </w:rPr>
        <w:t xml:space="preserve"> </w:t>
      </w:r>
      <w:r w:rsidR="006E7EED">
        <w:rPr>
          <w:sz w:val="22"/>
        </w:rPr>
        <w:fldChar w:fldCharType="begin"/>
      </w:r>
      <w:r w:rsidR="006E7EED">
        <w:rPr>
          <w:sz w:val="22"/>
        </w:rPr>
        <w:instrText xml:space="preserve"> ADDIN ZOTERO_ITEM CSL_CITATION {"citationID":"CshaVt6n","properties":{"unsorted":false,"formattedCitation":"(Schmidt et\\uc0\\u160{}al., 2025)","plainCitation":"(Schmidt et al., 2025)","noteIndex":0},"citationItems":[{"id":483,"uris":["http://zotero.org/users/14068823/items/AMK9K9X7"],"itemData":{"id":483,"type":"article-journal","abstract":"Cultivation of cocoa (Theobroma cacao L.) can lead to soil degradation in the absence of good agricultural management. Integrating regenerative agriculture practices such as cover crops and agroforestry could help mitigate potential negative effects of continuous cocoa cultivation on the soil, but the impacts of these practices on soil health and the soil microbiome have not been assessed empirically. Composite soil health indices calculated from multiple indicators represent a promising method to measure complex changes in soil functioning and can be complemented by amplicon sequencing. A soil health assessment with eighteen indicators of three functions (carbon transformations, nutrient cycling, and structure maintenance) was conducted across a chronosequence consisting of plots at the same farm under different durations of cocoa cultivation with regenerative practices. Correlations were calculated between soil health index scores and soil microbiome metrics (e.g. community structure, diversity, and relative abundance). Soil health was maintained over time despite changes in specific indicators. Biological activity, earthworm counts, pH, P, and K increased with increasing duration of cocoa cultivation, while scores for surface aggregation, soil structure, and residual nitrate declined. A critical evaluation of this method of evaluating soil health is presented. The results of this study underscore the potential for cocoa grown with regenerative practices to maintain or improve rather than degrade soil and can be used to formulate specific recommendations to promote soil health.","container-title":"Ecological Indicators","DOI":"10.1016/j.ecolind.2025.113866","ISSN":"1470-160X","journalAbbreviation":"Ecological Indicators","page":"113866","source":"ScienceDirect","title":"Evaluation of a composite soil health index and soil microbiome in a regenerative agriculture cocoa chronosequence","volume":"178","author":[{"family":"Schmidt","given":"Jennifer"},{"family":"Fungenzi","given":"Thomas"},{"family":"Recamán","given":"Alexander"},{"family":"Khalsa","given":"Sat Darshan S."}],"issued":{"date-parts":[["2025",9,1]]}}}],"schema":"https://github.com/citation-style-language/schema/raw/master/csl-citation.json"} </w:instrText>
      </w:r>
      <w:r w:rsidR="006E7EED">
        <w:rPr>
          <w:sz w:val="22"/>
        </w:rPr>
        <w:fldChar w:fldCharType="separate"/>
      </w:r>
      <w:r w:rsidR="006E7EED" w:rsidRPr="006E7EED">
        <w:rPr>
          <w:rFonts w:cs="Times New Roman"/>
          <w:sz w:val="22"/>
        </w:rPr>
        <w:t>(Schmidt et al., 2025)</w:t>
      </w:r>
      <w:r w:rsidR="006E7EED">
        <w:rPr>
          <w:sz w:val="22"/>
        </w:rPr>
        <w:fldChar w:fldCharType="end"/>
      </w:r>
      <w:r w:rsidRPr="00AF223D">
        <w:rPr>
          <w:sz w:val="22"/>
        </w:rPr>
        <w:t>. Applied case studies demonstrate that SQI-based zoning can detect critical edaphic constraints and support differentiated management: for example,</w:t>
      </w:r>
      <w:r w:rsidR="006E7EED">
        <w:rPr>
          <w:sz w:val="22"/>
        </w:rPr>
        <w:t xml:space="preserve"> </w:t>
      </w:r>
      <w:r w:rsidR="006E7EED">
        <w:rPr>
          <w:sz w:val="22"/>
        </w:rPr>
        <w:fldChar w:fldCharType="begin"/>
      </w:r>
      <w:r w:rsidR="006E7EED">
        <w:rPr>
          <w:sz w:val="22"/>
        </w:rPr>
        <w:instrText xml:space="preserve"> ADDIN ZOTERO_ITEM CSL_CITATION {"citationID":"CjlEquux","properties":{"unsorted":false,"formattedCitation":"(Barman et\\uc0\\u160{}al., 2021)","plainCitation":"(Barman et al., 2021)","noteIndex":0},"citationItems":[{"id":485,"uris":["http://zotero.org/users/14068823/items/ZGCVDF36"],"itemData":{"id":485,"type":"article-journal","abstract":"Farm level recommendation in salt-affected agricultural landscapes is practically difficult due to spatial variations in inherent soil salinity, diverse farming situations and associated land ownerships with small-scale production systems. This study presents spatial array analysis of 354 geo-referenced soil samples revealing widespread heterogeneity in soil sodicity and fertility status across salt-affected Ghaghar basin of Kaithal district in Haryana, India. Six principal components accounted for 73% of the total variability, and the most important contributors [electrical conductivity (ECe), sodium adsorption ratio (SAR), DTPA extractable copper (Cu) and boron (B), soil organic carbon (OC) and available phosphorus (AP)] as minimum data set were used to develop the soil quality index (SQI). Geostatistical analysis revealed Circular (ECe and AP), Exponential (SAR, OC and B) and Gaussian (Cu) as the best fit semivariogram ordinary kriging model with weak to moderate spatial dependence. Three soil management zones (SMZs) were delineated by grouping the entire area based on soil quality index (SQI). Fertilizer recommendations for rice-wheat cropping system in different SMZs were calculated using soil test crop response (STCR) equation to ensure balanced fertilization, resource saving and reducing environmental footprints. Gypsum requirement map was prepared for systematic allocation and distribution, and enabling farmers to precisely use the mineral gypsum in order to reclaim and reduce stresses led by sodic lands. The implications of this study showed zone-specific advocacy for gypsum application (as soil ameliorant) and balanced fertilization in sustainable restoration of sodic lands, improving nutrient use efficiency and stabilizing crop production in salt-affected regions of India and similar ecologies elsewhere.","container-title":"Journal of Environmental Management","DOI":"10.1016/j.jenvman.2021.113243","ISSN":"0301-4797","journalAbbreviation":"Journal of Environmental Management","page":"113243","source":"ScienceDirect","title":"Soil spatial variability characterization: Delineating index-based management zones in salt-affected agroecosystem of India","title-short":"Soil spatial variability characterization","volume":"296","author":[{"family":"Barman","given":"Arijit"},{"family":"Sheoran","given":"Parvender"},{"family":"Yadav","given":"Rajender Kumar"},{"family":"Abhishek","given":"Ramesh"},{"family":"Sharma","given":"Raman"},{"family":"Prajapat","given":"Kailash"},{"family":"Singh","given":"Ranjay K."},{"family":"Kumar","given":"Satyendra"}],"issued":{"date-parts":[["2021",10,15]]}}}],"schema":"https://github.com/citation-style-language/schema/raw/master/csl-citation.json"} </w:instrText>
      </w:r>
      <w:r w:rsidR="006E7EED">
        <w:rPr>
          <w:sz w:val="22"/>
        </w:rPr>
        <w:fldChar w:fldCharType="separate"/>
      </w:r>
      <w:r w:rsidR="006E7EED" w:rsidRPr="006E7EED">
        <w:rPr>
          <w:rFonts w:cs="Times New Roman"/>
          <w:sz w:val="22"/>
        </w:rPr>
        <w:t xml:space="preserve">Barman et al. </w:t>
      </w:r>
      <w:r w:rsidR="006E7EED">
        <w:rPr>
          <w:rFonts w:cs="Times New Roman"/>
          <w:sz w:val="22"/>
        </w:rPr>
        <w:t>(</w:t>
      </w:r>
      <w:r w:rsidR="006E7EED" w:rsidRPr="006E7EED">
        <w:rPr>
          <w:rFonts w:cs="Times New Roman"/>
          <w:sz w:val="22"/>
        </w:rPr>
        <w:t>2021)</w:t>
      </w:r>
      <w:r w:rsidR="006E7EED">
        <w:rPr>
          <w:sz w:val="22"/>
        </w:rPr>
        <w:fldChar w:fldCharType="end"/>
      </w:r>
      <w:r w:rsidRPr="00AF223D">
        <w:rPr>
          <w:sz w:val="22"/>
        </w:rPr>
        <w:t xml:space="preserve"> developed a six-indicator SQI for sodic soils in India and showed that SQI-guided zoning allowed tailored fertilizer prescriptions, improved nutrient </w:t>
      </w:r>
      <w:r w:rsidRPr="00AF223D">
        <w:rPr>
          <w:sz w:val="22"/>
        </w:rPr>
        <w:lastRenderedPageBreak/>
        <w:t>balances, reduced input usage, and stabilized production. Similarly,</w:t>
      </w:r>
      <w:r w:rsidR="006E7EED">
        <w:rPr>
          <w:sz w:val="22"/>
        </w:rPr>
        <w:t xml:space="preserve"> </w:t>
      </w:r>
      <w:r w:rsidR="006E7EED">
        <w:rPr>
          <w:sz w:val="22"/>
        </w:rPr>
        <w:fldChar w:fldCharType="begin"/>
      </w:r>
      <w:r w:rsidR="006E7EED">
        <w:rPr>
          <w:sz w:val="22"/>
        </w:rPr>
        <w:instrText xml:space="preserve"> ADDIN ZOTERO_ITEM CSL_CITATION {"citationID":"wvdxr6MJ","properties":{"unsorted":false,"formattedCitation":"(Ar\\uc0\\u233{}valo-Hern\\uc0\\u225{}ndez et\\uc0\\u160{}al., 2024)","plainCitation":"(Arévalo-Hernández et al., 2024)","noteIndex":0},"citationItems":[{"id":487,"uris":["http://zotero.org/users/14068823/items/3ECK3HUZ"],"itemData":{"id":487,"type":"article-journal","abstract":"Conventional intensive farming systems can result in degraded soil. It is therefore important to monitor this effect periodically by delineating management zones (MZ) based on soil quality indices (SQI) in order to maintain and improve the soil characteristics in a precision farming environment and obtain homogeneous rice yields. The aim of this study was to determine and spatialise SQI and delineate MZ for cultivating flooded rice in an area of Fluvisols in Huila, Colombia. Forty-one georeferenced soil samples were collected from the 0 to 20 cm layer, and the physical, chemical and biological attributes of the soil were analysed to calculate the Integrated Quality Index (IQI) and the Nemoro Quality Index (NQI) using linear scoring functions. Geostatistical tools were then used to fit semivariogram models of the SQI, and interpolated using ordinary kriging to map the MZ using the QGIS software. The IQI and NQI showed a moderate spatial correlation, which allowed three distinct MZ to be identified and delineated. Attributes, such as bulk density (Bd), total porosity (TP), soil respiration (SR), available water (AW) and soil organic matter (SOM) were significant and can be used as a guide by farmers for restoring the quality of the soil in rice production. The method proved to be effective, and provided an information base to be used in the local management of areas of rice cultivation in the study region.","container-title":"Geoderma Regional","DOI":"10.1016/j.geodrs.2024.e00886","ISSN":"2352-0094","journalAbbreviation":"Geoderma Regional","page":"e00886","source":"ScienceDirect","title":"The delineation of management zones using soil quality indices for the cultivation of irrigated rice (&lt;i&gt;Oryza sativa&lt;/i&gt; L.) in Huila, Colombia","volume":"39","author":[{"family":"Arévalo-Hernández","given":"John J."},{"family":"Oliveira","given":"Eduardo Medeiros","dropping-particle":"de"},{"family":"Ferraz","given":"Gabriel Araújo e Silva"},{"family":"Polanía-Montiel","given":"Diana C."},{"family":"Liscano Solano","given":"Anggy L."},{"family":"Silva","given":"Marx Leandro Naves"}],"issued":{"date-parts":[["2024",12,1]]}}}],"schema":"https://github.com/citation-style-language/schema/raw/master/csl-citation.json"} </w:instrText>
      </w:r>
      <w:r w:rsidR="006E7EED">
        <w:rPr>
          <w:sz w:val="22"/>
        </w:rPr>
        <w:fldChar w:fldCharType="separate"/>
      </w:r>
      <w:r w:rsidR="006E7EED" w:rsidRPr="006E7EED">
        <w:rPr>
          <w:rFonts w:cs="Times New Roman"/>
          <w:sz w:val="22"/>
        </w:rPr>
        <w:t xml:space="preserve">Arévalo-Hernández et al. </w:t>
      </w:r>
      <w:r w:rsidR="006E7EED">
        <w:rPr>
          <w:rFonts w:cs="Times New Roman"/>
          <w:sz w:val="22"/>
        </w:rPr>
        <w:t>(</w:t>
      </w:r>
      <w:r w:rsidR="006E7EED" w:rsidRPr="006E7EED">
        <w:rPr>
          <w:rFonts w:cs="Times New Roman"/>
          <w:sz w:val="22"/>
        </w:rPr>
        <w:t>2024)</w:t>
      </w:r>
      <w:r w:rsidR="006E7EED">
        <w:rPr>
          <w:sz w:val="22"/>
        </w:rPr>
        <w:fldChar w:fldCharType="end"/>
      </w:r>
      <w:r w:rsidRPr="00AF223D">
        <w:rPr>
          <w:sz w:val="22"/>
        </w:rPr>
        <w:t xml:space="preserve"> combined an SQI with geostatistical methods in Colombian paddy systems to produce zone-specific recommendations for nutrients and gypsum, thereby enhancing nutrient-use efficiency and yield stability;</w:t>
      </w:r>
      <w:r w:rsidR="00AC573C">
        <w:rPr>
          <w:sz w:val="22"/>
        </w:rPr>
        <w:t xml:space="preserve"> </w:t>
      </w:r>
      <w:r w:rsidR="00AC573C">
        <w:rPr>
          <w:sz w:val="22"/>
        </w:rPr>
        <w:fldChar w:fldCharType="begin"/>
      </w:r>
      <w:r w:rsidR="00AC573C">
        <w:rPr>
          <w:sz w:val="22"/>
        </w:rPr>
        <w:instrText xml:space="preserve"> ADDIN ZOTERO_ITEM CSL_CITATION {"citationID":"9Y98lef2","properties":{"unsorted":false,"formattedCitation":"(Rabot et\\uc0\\u160{}al., 2022)","plainCitation":"(Rabot et al., 2022)","noteIndex":0},"citationItems":[{"id":489,"uris":["http://zotero.org/users/14068823/items/2TXSD7R7"],"itemData":{"id":489,"type":"article-journal","abstract":"Europe is faced to a competing demand for areas suitable for agriculture and areas suitable for urban development. To help building the general guidelines necessary for a sustainable development at the regional scale, we developed a soil potential multifunctionality index for agriculture (Agri-SPMI), which used the concepts of soil-based ecosystem services and soil functions. It considered the provision of a physical and chemical habitat for plant growth functions, the retention and transfer of water and pollutants function, and the carbon storage function. Three agricultural land uses were considered in this index: arable lands, perennial crops, and pastures. The assessment of the Agri-SPMI was done over a large territory, using a small set of inherent soil properties available in the French soil survey database at 1:250,000 scale. The output was in the form of two maps, which can be viewed in a GIS software: a map of areas with high Agri-SPMI and a map of the service of food, biomass, and fiber production. The concept of soil multifunctionality allowed highlighting environmental issues related to agriculture and to encourage land planners to take them into account in addition to the agronomic potential of soils. The framework used is fully transferable to other scales, other soil contexts, or other ecosystem services, with adaptation of the soil properties considered.","container-title":"Soil Security","DOI":"10.1016/j.soisec.2022.100034","ISSN":"2667-0062","journalAbbreviation":"Soil Security","page":"100034","source":"ScienceDirect","title":"Development and spatialization of a soil potential multifunctionality index for agriculture (Agri-SPMI) at the regional scale. Case study in the Occitanie region (France)","volume":"6","author":[{"family":"Rabot","given":"Eva"},{"family":"Guiresse","given":"Maritxu"},{"family":"Pittatore","given":"Yannis"},{"family":"Angelini","given":"Marcos"},{"family":"Keller","given":"Catherine"},{"family":"Lagacherie","given":"Philippe"}],"issued":{"date-parts":[["2022",3,1]]}}}],"schema":"https://github.com/citation-style-language/schema/raw/master/csl-citation.json"} </w:instrText>
      </w:r>
      <w:r w:rsidR="00AC573C">
        <w:rPr>
          <w:sz w:val="22"/>
        </w:rPr>
        <w:fldChar w:fldCharType="separate"/>
      </w:r>
      <w:r w:rsidR="00AC573C" w:rsidRPr="00AC573C">
        <w:rPr>
          <w:rFonts w:cs="Times New Roman"/>
          <w:sz w:val="22"/>
        </w:rPr>
        <w:t xml:space="preserve">Rabot et al. </w:t>
      </w:r>
      <w:r w:rsidR="00AC573C">
        <w:rPr>
          <w:rFonts w:cs="Times New Roman"/>
          <w:sz w:val="22"/>
        </w:rPr>
        <w:t>(</w:t>
      </w:r>
      <w:r w:rsidR="00AC573C" w:rsidRPr="00AC573C">
        <w:rPr>
          <w:rFonts w:cs="Times New Roman"/>
          <w:sz w:val="22"/>
        </w:rPr>
        <w:t>2022)</w:t>
      </w:r>
      <w:r w:rsidR="00AC573C">
        <w:rPr>
          <w:sz w:val="22"/>
        </w:rPr>
        <w:fldChar w:fldCharType="end"/>
      </w:r>
      <w:r w:rsidR="00AC573C">
        <w:rPr>
          <w:sz w:val="22"/>
        </w:rPr>
        <w:t xml:space="preserve"> </w:t>
      </w:r>
      <w:r w:rsidRPr="00AF223D">
        <w:rPr>
          <w:sz w:val="22"/>
        </w:rPr>
        <w:t>proposed a multifunctional soil quality index to inform regional agronomic planning</w:t>
      </w:r>
      <w:r w:rsidRPr="00397B1C">
        <w:rPr>
          <w:color w:val="EE0000"/>
          <w:sz w:val="22"/>
        </w:rPr>
        <w:t>.</w:t>
      </w:r>
      <w:r w:rsidR="00567092" w:rsidRPr="00397B1C">
        <w:rPr>
          <w:color w:val="EE0000"/>
          <w:sz w:val="22"/>
        </w:rPr>
        <w:t xml:space="preserve"> In the Peruvian Andes,</w:t>
      </w:r>
      <w:r w:rsidR="00AC573C">
        <w:rPr>
          <w:color w:val="EE0000"/>
          <w:sz w:val="22"/>
        </w:rPr>
        <w:t xml:space="preserve"> </w:t>
      </w:r>
      <w:r w:rsidR="00AC573C">
        <w:rPr>
          <w:color w:val="EE0000"/>
          <w:sz w:val="22"/>
        </w:rPr>
        <w:fldChar w:fldCharType="begin"/>
      </w:r>
      <w:r w:rsidR="00AC573C">
        <w:rPr>
          <w:color w:val="EE0000"/>
          <w:sz w:val="22"/>
        </w:rPr>
        <w:instrText xml:space="preserve"> ADDIN ZOTERO_ITEM CSL_CITATION {"citationID":"o97RJg0R","properties":{"unsorted":false,"formattedCitation":"(Sol\\uc0\\u243{}rzano-Acosta et\\uc0\\u160{}al., 2025)","plainCitation":"(Solórzano-Acosta et al., 2025)","noteIndex":0},"citationItems":[{"id":695,"uris":["http://zotero.org/users/14068823/items/8TRC4QK7"],"itemData":{"id":695,"type":"article-journal","abstract":"IntroductionMonoculture is a significant concern due to its negative impact on soil quality, resource productivity, and agricultural sustainability, particularly in vulnerable communities. This research aims to evaluate high Andean soil management for maca monoculture.Materials and methodsTo this end, interviews were conducted with maca farmers adjacent to Lake Chinchaycocha. The effect on soil quality was evaluated based on principal component analysis (PCA), weighted soil quality index (SQIw), and physico-chemical characteristics.ResultsThe results indicated differences between farmers in agronomic management, monoculture period (from 5 to 9 years), and fallow time (up to 10 years in the best cases). Regarding soil quality, the PCA highlighted boron and total nitrogen locations in the same quadrant, with the highest contribution to the analysis. Finally, the SQIw showed that soils without maca cultivation presented better quality.ConclusionThis research’s results indicate a need to optimize soil management practices, especially for small farmers, who are the most vulnerable group. In addition, further studies on boron and nitrogen availability in soils cultivated with maca are required, emphasizing areas that exceed 10 years of continuous use.","container-title":"Frontiers in Soil Science","DOI":"10.3389/fsoil.2024.1419745","ISSN":"2673-8619","journalAbbreviation":"Front. Soil Sci.","language":"English","publisher":"Frontiers","source":"Frontiers","title":"Soil management in Lepidium meyenii (maca) monoculture: trends and challenges for small farmers around Lake Chinchaycocha in the Andean highlands of Junin (Peru)","title-short":"Soil management in Lepidium meyenii (maca) monoculture","URL":"https://www.frontiersin.org/journals/soil-science/articles/10.3389/fsoil.2024.1419745/full","volume":"4","author":[{"family":"Solórzano-Acosta","given":"Richard"},{"family":"Chanco","given":"Mirella"},{"family":"Seminario","given":"Martín"},{"family":"Cabello-Torres","given":"Rita"},{"family":"Camel","given":"Vladimir"},{"family":"Lastra","given":"Sphyros"},{"family":"Arias","given":"Alberto"},{"family":"Verástegui","given":"Patricia"},{"family":"Quispe","given":"Kenyi"},{"family":"Carbajal-Llosa","given":"Carlos"},{"family":"Cuevas","given":"Juan Pablo"},{"family":"Cruz","given":"Juancarlos"},{"family":"Turín","given":"Cecilia"}],"accessed":{"date-parts":[["2026",9,1]]},"issued":{"date-parts":[["2025",1,17]]}}}],"schema":"https://github.com/citation-style-language/schema/raw/master/csl-citation.json"} </w:instrText>
      </w:r>
      <w:r w:rsidR="00AC573C">
        <w:rPr>
          <w:color w:val="EE0000"/>
          <w:sz w:val="22"/>
        </w:rPr>
        <w:fldChar w:fldCharType="separate"/>
      </w:r>
      <w:r w:rsidR="00AC573C" w:rsidRPr="00AC573C">
        <w:rPr>
          <w:rFonts w:cs="Times New Roman"/>
          <w:sz w:val="22"/>
        </w:rPr>
        <w:t xml:space="preserve">Solórzano-Acosta et al. </w:t>
      </w:r>
      <w:r w:rsidR="00AC573C">
        <w:rPr>
          <w:rFonts w:cs="Times New Roman"/>
          <w:sz w:val="22"/>
        </w:rPr>
        <w:t>(</w:t>
      </w:r>
      <w:r w:rsidR="00AC573C" w:rsidRPr="00AC573C">
        <w:rPr>
          <w:rFonts w:cs="Times New Roman"/>
          <w:sz w:val="22"/>
        </w:rPr>
        <w:t>2025)</w:t>
      </w:r>
      <w:r w:rsidR="00AC573C">
        <w:rPr>
          <w:color w:val="EE0000"/>
          <w:sz w:val="22"/>
        </w:rPr>
        <w:fldChar w:fldCharType="end"/>
      </w:r>
      <w:r w:rsidR="00567092" w:rsidRPr="00397B1C">
        <w:rPr>
          <w:color w:val="EE0000"/>
          <w:sz w:val="22"/>
        </w:rPr>
        <w:t xml:space="preserve"> applied a weighted soil quality index combined with multivariate analysis to characterize soil degradation associated with maca monoculture, further demonstrating the applicability of integrated soil-quality indicators for identifying edaphic constraints across contrasting agricultural environments. These and other studies corroborate that integrating weighted soil quality indices (</w:t>
      </w:r>
      <w:proofErr w:type="spellStart"/>
      <w:r w:rsidR="00567092" w:rsidRPr="00397B1C">
        <w:rPr>
          <w:color w:val="EE0000"/>
          <w:sz w:val="22"/>
        </w:rPr>
        <w:t>SQIw</w:t>
      </w:r>
      <w:proofErr w:type="spellEnd"/>
      <w:r w:rsidR="00567092" w:rsidRPr="00397B1C">
        <w:rPr>
          <w:color w:val="EE0000"/>
          <w:sz w:val="22"/>
        </w:rPr>
        <w:t>) with spatial modeling substantially improves the capacity to quantify edaphic limitations and to design site-specific interventions across contrasting agricultural environments</w:t>
      </w:r>
      <w:r w:rsidR="00AC573C">
        <w:rPr>
          <w:color w:val="EE0000"/>
          <w:sz w:val="22"/>
        </w:rPr>
        <w:t xml:space="preserve"> </w:t>
      </w:r>
      <w:r w:rsidR="00AC573C">
        <w:rPr>
          <w:color w:val="EE0000"/>
          <w:sz w:val="22"/>
        </w:rPr>
        <w:fldChar w:fldCharType="begin"/>
      </w:r>
      <w:r w:rsidR="00C00930">
        <w:rPr>
          <w:color w:val="EE0000"/>
          <w:sz w:val="22"/>
        </w:rPr>
        <w:instrText xml:space="preserve"> ADDIN ZOTERO_ITEM CSL_CITATION {"citationID":"oT4iontc","properties":{"unsorted":false,"formattedCitation":"(Abdu et\\uc0\\u160{}al., 2023; Cuellar-Condori et\\uc0\\u160{}al., 2026; Poma-Chamana et\\uc0\\u160{}al., 2026)","plainCitation":"(Abdu et al., 2023; Cuellar-Condori et al., 2026; Poma-Chamana et al., 2026)","noteIndex":0},"citationItems":[{"id":494,"uris":["http://zotero.org/users/14068823/items/PQICS2NW"],"itemData":{"id":494,"type":"article-journal","abstract":"Soil quality serves as the basis for both food security and environmental sustainability. To optimize production and implement soil management interventions, understanding the state of the soil quality is fundamental. Thus, this study was conducted to assess the soil quality of arable lands situated in the Nitisols and Luvisols using different assessment techniques. A total of 57 georeferenced soil samples were taken at a depth of 20 cm (18 from Nitisols and 39 from Luvisols land). The soil samples were analyzed for particle size distribution (PSD), texture, pH, organic carbon (OC), total nitrogen (TN), available phosphorus (P), sulfur (S), exchangeable bases (calcium (Ca), magnesium (Mg), and potassium (K)), soil micronutrients (boron (B), copper (Cu), iron (Fe), manganese (Mn), and zinc (Zn)), and cation exchange capacity (CEC). The techniques used to estimate soil quality includes principal component analysis (PCA), a normalized PCA, and common soil parameters (soil texture, pH, OC, N, P, and K). The results were expressed in terms of soil quality index (SQI). In addition, the soil fertility/nutrient/index (NI) approach was used. The result showed that the SQI values using the common parameters approach were 0.17 and 0.30 for the lands belonging to Nitisols and Luvisols and categorized as very poor (&lt;0.2) and poor (0.2–0.4) quality soils, respectively. PCA-SQI and normalized PCA-SQI values for lands in the Nitisols were 0.36 and 0.42, while for Luvisols they were 0.38 and 0.40, respectively. The soil quality of lands in the Luvisols was rated low (0.38–0.44), while lands in the Nitisols qualified under very low (&lt;0.38) and low soil quality, respectively. In addition, the value of 1.42 and 1.78 in their order for lands belonging to Nitisols and Luvisols were recorded using the NI method that indicated low and medium soil quality. In conclusion, PCA and common soil parameters techniques regardless of soil types offered consistently similar information and could be taken as useful techniques for aiding soil management interventions. Furthermore, the result also calls for the need for applying soil management practices.","container-title":"Applied and Environmental Soil Science","DOI":"10.1155/2023/6699154","ISSN":"1687-7675","issue":"1","language":"en","license":"Copyright © 2023 Abass Abdu et al.","note":"_eprint: https://onlinelibrary.wiley.com/doi/pdf/10.1155/2023/6699154","page":"6699154","source":"Wiley Online Library","title":"Explaining the Soil Quality Using Different Assessment Techniques","volume":"2023","author":[{"family":"Abdu","given":"Abass"},{"family":"Laekemariam","given":"Fanuel"},{"family":"Gidago","given":"Gifole"},{"family":"Getaneh","given":"Lakew"}],"issued":{"date-parts":[["2023"]]}}},{"id":688,"uris":["http://zotero.org/users/14068823/items/AQVRS6J6"],"itemData":{"id":688,"type":"article-journal","abstract":"The pronounced heterogeneity of high-Andean soils constitutes a critical constraint to the sustainable productivity of quinoa in southern Peru, where current yields (1.6 t ha−1) remain well below potential (&gt;5 t ha−1). This study aimed to develop a spatially predictive model of a weighted soil quality index (SQIw), the edaphic supply of nitrogen (N), phosphorus (P) and potassium (K), and the agricultural gypsum requirement by integrating edaphoclimatic covariates through regression–kriging. A total of 198 quinoa-cultivated soil samples were analysed; a minimum data set (MDS) was defined using correlation and principal component analyses, and regression–kriging was applied to map SQIw and the variables of interest. The MDS comprised electrical conductivity (EC), organic matter (OM), available P, exchangeable Na, sand, clay, and effective cation exchange capacity (ECEC); exchangeable Na (Wi = 0.160) and available P (Wi = 0.158) received the largest weights in the SQIw. SQIw values ranged from 0.22 to 0.84 and supported a five-class soil quality taxonomy; spatial modelling revealed a dominance of moderate-quality soils across the territory (85.21% of the agricultural area, 13,461.19 ha). The model achieved R2 = 0.56, RMSE = 0.05, and MAE = 0.04 for SQIw. Most of the area (12,175.65 ha; 77%) exhibited an intermediate gypsum requirement (9.73–14.33 t ha−1). Nitrogen and phosphorus showed the greatest territorial limitations, whereas potassium was largely non-limiting (84.82–570.17 kg ha−1). These results indicate that sodicity and N–P deficiencies are the primary functional constraints; the generated maps enable prioritisation of gypsum amendments and targeted variable-rate fertilisation strategies to optimise the sustainability of quinoa production in the Altiplano.","container-title":"Agronomy","DOI":"10.3390/agronomy16070680","ISSN":"2073-4395","issue":"7","language":"en","license":"http://creativecommons.org/licenses/by/3.0/","page":"680","publisher":"Multidisciplinary Digital Publishing Institute","source":"www.mdpi.com","title":"Spatial Modelling of Soil Quality Index Using Regression–Kriging and Delineation of Nutrient Management Zones in High-Andean Quinoa Fields, Southern Peru","volume":"16","author":[{"family":"Cuellar-Condori","given":"Nestor"},{"family":"Mejia","given":"Sharon"},{"family":"Quiñones","given":"Robert"},{"family":"Mercado","given":"Ruth"},{"family":"Cristhian","given":"Ali"},{"family":"Chávez-Zea","given":"Karla"},{"family":"Ccosi","given":"Elvis"},{"family":"Cahuide","given":"Madeleiny"},{"family":"Quispe","given":"Kenyi"}],"issued":{"date-parts":[["2026",1]]}}},{"id":691,"uris":["http://zotero.org/users/14068823/items/VQQDCMVK"],"itemData":{"id":691,"type":"article-journal","abstract":"IntroductionSoil salinization and alkalinization in the arid zones of southern Peru pose major challenges to agricultural sustainability, particularly in the olive orchards of Bella Unión, where irrigation relies on surface and groundwater of variable quality. This study aimed to assess soil quality and its spatial variability to support site-specific management in olive (Olea europaea L L.) orchards.MethodsA total of 160 composite soil samples (0–30 cm) were collected from representative olive orchards and analyzed for pH, electrical conductivity (ECe), organic matter (OM), available phosphorus (Pav), available potassium (Kav), texture, and calcium carbonate equivalent (CCE). The Soil Quality Index (SQIw) was calculated and combined with multivariate and geostatistical analyses to identify key soil quality indicators and characterize their spatial variability.ResultsSoils showed high variability in salinity (ECe = 1.30–24.61 dS m-¹) and organic matter content (0.50–3.10%), while pH was relatively homogeneous (6.90–8.40). According to the SQIw, 1.26% of soils were classified as Very Poor, 44.96% as Poor, 51.49% as Acceptable, 2.28% as Good, and 0.01% as Optimal. Electrical conductivity was the main factor controlling the SQIw.DiscussionThese results indicate that salinity represents a major constraint for olive growth and productivity in the study area. Despite its lower weight in the SQIw, the generally low organic matter levels suggest limitations for soil fertility, water retention, and nutrient cycling, highlighting the need for organic amendments with low electrical conductivity. Nutrient management should also account for reduced nutrient availability under alkaline–saline conditions and the widespread organic matter deficiency. This study represents the first application of SQIw in Peruvian olive orchards and demonstrates its usefulness for delineating low-quality zones, guiding fertilization and soil recovery strategies, and promoting sustainable soil management in arid agroecosystems.","container-title":"Frontiers in Soil Science","DOI":"10.3389/fsoil.2026.1724235","ISSN":"2673-8619","journalAbbreviation":"Front. Soil Sci.","language":"English","publisher":"Frontiers","source":"Frontiers","title":"Soil quality in olive orchards of southern Peru using a weighted soil quality index (SQIw): constraints by salinity, organic matter and sustainable management approach","title-short":"Soil quality in olive orchards of southern Peru using a weighted soil quality index (SQIw)","URL":"https://www.frontiersin.org/journals/soil-science/articles/10.3389/fsoil.2026.1724235/full","volume":"6","author":[{"family":"Poma-Chamana","given":"Russell"},{"family":"Vilca-Gamarra","given":"Cesar"},{"family":"Linares-Escapa","given":"Solmayra"},{"family":"Puma-Huacani","given":"Katherine"},{"family":"Carrillo","given":"Alex"},{"family":"Villalta Soto","given":"Martín J. C."},{"family":"Quispe","given":"Kenyi"}],"accessed":{"date-parts":[["2026",9,1]]},"issued":{"date-parts":[["2026",2,9]]}}}],"schema":"https://github.com/citation-style-language/schema/raw/master/csl-citation.json"} </w:instrText>
      </w:r>
      <w:r w:rsidR="00AC573C">
        <w:rPr>
          <w:color w:val="EE0000"/>
          <w:sz w:val="22"/>
        </w:rPr>
        <w:fldChar w:fldCharType="separate"/>
      </w:r>
      <w:r w:rsidR="00C00930" w:rsidRPr="00C00930">
        <w:rPr>
          <w:rFonts w:cs="Times New Roman"/>
          <w:sz w:val="22"/>
        </w:rPr>
        <w:t>(Abdu et al., 2023; Cuellar-Condori et al., 2026; Poma-Chamana et al., 2026)</w:t>
      </w:r>
      <w:r w:rsidR="00AC573C">
        <w:rPr>
          <w:color w:val="EE0000"/>
          <w:sz w:val="22"/>
        </w:rPr>
        <w:fldChar w:fldCharType="end"/>
      </w:r>
      <w:r w:rsidRPr="00AF223D">
        <w:rPr>
          <w:sz w:val="22"/>
        </w:rPr>
        <w:t>. However, despite these advances, calibrating and defining soil parameters that can be applied worldwide remains challenging due to the wide variety of soil types, climates, and ecosystems</w:t>
      </w:r>
      <w:r w:rsidR="00C00930">
        <w:rPr>
          <w:sz w:val="22"/>
        </w:rPr>
        <w:t xml:space="preserve"> </w:t>
      </w:r>
      <w:r w:rsidR="00C00930">
        <w:rPr>
          <w:sz w:val="22"/>
        </w:rPr>
        <w:fldChar w:fldCharType="begin"/>
      </w:r>
      <w:r w:rsidR="00C00930">
        <w:rPr>
          <w:sz w:val="22"/>
        </w:rPr>
        <w:instrText xml:space="preserve"> ADDIN ZOTERO_ITEM CSL_CITATION {"citationID":"nYxTH47c","properties":{"unsorted":false,"formattedCitation":"(Mu\\uc0\\u241{}oz-Rojas, 2018)","plainCitation":"(Muñoz-Rojas, 2018)","noteIndex":0},"citationItems":[{"id":585,"uris":["http://zotero.org/users/14068823/items/ENBLVYA5"],"itemData":{"id":585,"type":"article-journal","abstract":"Defining clear goals for ecosystem restoration, and developing effective tools to assess and monitor progress, are critical to achieve restoration success. Soil quality indicators can be valuable assets for ecosystem monitoring and assessment. Recent advances in the development of methodologies for soil analyses, including sensing techniques or molecular methods, provide unprecedented opportunities to integrate soil indicators in restoration programs. Despite the substantial potential benefits of using these indicators as tools in ecosystem restoration, the calibration and establishment of global soil parameters remains a challenge due to large variability in soil, climate, and ecosystem types. This review provides an overview of the current knowledge of soil quality indicators in the context of ecosystem restoration. Examples of relevant soil physicochemical and microbiological indicators, and current and novel methodologies for their assessment, are presented. Furthermore the benefits and challenges for the global integration of these indicators in ecosystem restoration programs are discussed.","collection-title":"Sustainable soil management and land restoration","container-title":"Current Opinion in Environmental Science &amp; Health","DOI":"10.1016/j.coesh.2018.04.007","ISSN":"2468-5844","journalAbbreviation":"Current Opinion in Environmental Science &amp; Health","page":"47-52","source":"ScienceDirect","title":"Soil quality indicators: critical tools in ecosystem restoration","title-short":"Soil quality indicators","volume":"5","author":[{"family":"Muñoz-Rojas","given":"Miriam"}],"issued":{"date-parts":[["2018",10,1]]}}}],"schema":"https://github.com/citation-style-language/schema/raw/master/csl-citation.json"} </w:instrText>
      </w:r>
      <w:r w:rsidR="00C00930">
        <w:rPr>
          <w:sz w:val="22"/>
        </w:rPr>
        <w:fldChar w:fldCharType="separate"/>
      </w:r>
      <w:r w:rsidR="00C00930" w:rsidRPr="00C00930">
        <w:rPr>
          <w:rFonts w:cs="Times New Roman"/>
          <w:sz w:val="22"/>
        </w:rPr>
        <w:t>(Muñoz-Rojas, 2018)</w:t>
      </w:r>
      <w:r w:rsidR="00C00930">
        <w:rPr>
          <w:sz w:val="22"/>
        </w:rPr>
        <w:fldChar w:fldCharType="end"/>
      </w:r>
      <w:r w:rsidRPr="00AF223D">
        <w:rPr>
          <w:sz w:val="22"/>
        </w:rPr>
        <w:t>. Furthermore, current modeling methods often have limitations. These may stem from a failure to adequately account for important factors affecting soil quality or from being too complex and specific, which limits their general applicability</w:t>
      </w:r>
      <w:r w:rsidR="00C00930">
        <w:rPr>
          <w:sz w:val="22"/>
        </w:rPr>
        <w:t xml:space="preserve"> </w:t>
      </w:r>
      <w:r w:rsidR="00C00930">
        <w:rPr>
          <w:sz w:val="22"/>
        </w:rPr>
        <w:fldChar w:fldCharType="begin"/>
      </w:r>
      <w:r w:rsidR="00C00930">
        <w:rPr>
          <w:sz w:val="22"/>
        </w:rPr>
        <w:instrText xml:space="preserve"> ADDIN ZOTERO_ITEM CSL_CITATION {"citationID":"cQHBTrbb","properties":{"unsorted":false,"formattedCitation":"(De Laurentiis et\\uc0\\u160{}al., 2019)","plainCitation":"(De Laurentiis et al., 2019)","noteIndex":0},"citationItems":[{"id":584,"uris":["http://zotero.org/users/14068823/items/46FP6NLW"],"itemData":{"id":584,"type":"article-journal","abstract":"Impacts associated with land use are increasingly recognized as important aspects to consider when conducting Life Cycle Assessment (LCA). Across the existing models accounting for land use activities in life cycle impact assessment, a balance is yet to be found between complexity and comprehensiveness on one hand, and applicability on the other hand. This work builds on the LANd use indicator value CAlculation (LANCA®) model, assessing the impacts of land use activities on five soil properties, and aims at developing an aggregated index to improve its applicability. First a statistical analysis is conducted, leading to the shortlisting of the four most significant soil quality indicators. Then two options for aggregating the selected indicators are presented: the soil quality index (SQI), based on linear aggregation, and the normalisation–based soil quality index (NSQI), where the aggregation process involves normalisation integrated into the characterisation step. Country-specific and global average characterisation factors (CFs) are calculated for 57 land use types considering both land occupation and land transformation interventions with the two suggested approaches. The two indices present similar ranking of land use types but the relative contribution of the separate indicators to the aggregated index varies according to the approach adopted. The differences between the aggregation approaches suggested are discussed, together with the limitations related to both the LANCA® model and the aggregation approaches. This work represents a first step towards the widespread application of a comprehensive and robust land use model at midpoint level in LCA. Finally, a number of recommendations for the future development of the LANCA® model and of the related soil quality models are provided.","container-title":"Journal of Cleaner Production","DOI":"10.1016/j.jclepro.2018.12.238","ISSN":"0959-6526","journalAbbreviation":"Journal of Cleaner Production","page":"63-74","source":"ScienceDirect","title":"Soil quality index: Exploring options for a comprehensive assessment of land use impacts in LCA","title-short":"Soil quality index","volume":"215","author":[{"family":"De Laurentiis","given":"Valeria"},{"family":"Secchi","given":"Michela"},{"family":"Bos","given":"Ulrike"},{"family":"Horn","given":"Rafael"},{"family":"Laurent","given":"Alexis"},{"family":"Sala","given":"Serenella"}],"issued":{"date-parts":[["2019",4,1]]}}}],"schema":"https://github.com/citation-style-language/schema/raw/master/csl-citation.json"} </w:instrText>
      </w:r>
      <w:r w:rsidR="00C00930">
        <w:rPr>
          <w:sz w:val="22"/>
        </w:rPr>
        <w:fldChar w:fldCharType="separate"/>
      </w:r>
      <w:r w:rsidR="00C00930" w:rsidRPr="00C00930">
        <w:rPr>
          <w:rFonts w:cs="Times New Roman"/>
          <w:sz w:val="22"/>
        </w:rPr>
        <w:t>(De Laurentiis et al., 2019)</w:t>
      </w:r>
      <w:r w:rsidR="00C00930">
        <w:rPr>
          <w:sz w:val="22"/>
        </w:rPr>
        <w:fldChar w:fldCharType="end"/>
      </w:r>
      <w:r w:rsidRPr="00AF223D">
        <w:rPr>
          <w:sz w:val="22"/>
        </w:rPr>
        <w:t xml:space="preserve">. </w:t>
      </w:r>
      <w:r w:rsidR="00567061" w:rsidRPr="00AF223D">
        <w:rPr>
          <w:sz w:val="22"/>
        </w:rPr>
        <w:t>Although soil quality indicators, threshold values, and model parameters require local recalibration to account for differences in soil types, climate, and cropping systems, the methodological framework proposed here is designed to be adaptable across agroecosystems through a standardized workflow for indicator selection, index construction, and spatial prediction. Therefore, there is a need for approaches that integrate predictive accuracy, spatial representation, and methodological flexibility to facilitate their application under diverse environmental conditions.</w:t>
      </w:r>
    </w:p>
    <w:p w14:paraId="2609D3E8" w14:textId="2B710641" w:rsidR="003B41E9" w:rsidRPr="00AF223D" w:rsidRDefault="00000000">
      <w:pPr>
        <w:rPr>
          <w:sz w:val="22"/>
        </w:rPr>
      </w:pPr>
      <w:r w:rsidRPr="00AF223D">
        <w:rPr>
          <w:sz w:val="22"/>
        </w:rPr>
        <w:t xml:space="preserve">In heterogeneous agricultural landscapes, the </w:t>
      </w:r>
      <w:proofErr w:type="spellStart"/>
      <w:r w:rsidRPr="00AF223D">
        <w:rPr>
          <w:sz w:val="22"/>
        </w:rPr>
        <w:t>SQIw</w:t>
      </w:r>
      <w:proofErr w:type="spellEnd"/>
      <w:r w:rsidRPr="00AF223D">
        <w:rPr>
          <w:sz w:val="22"/>
        </w:rPr>
        <w:t xml:space="preserve"> should be integrated with spatial prediction techniques to capture variability within fields and facilitate precision management. Regression kriging integrates covariate-based modeling with spatial interpolation</w:t>
      </w:r>
      <w:r w:rsidR="00567061" w:rsidRPr="00AF223D">
        <w:rPr>
          <w:sz w:val="22"/>
        </w:rPr>
        <w:t xml:space="preserve"> of residuals</w:t>
      </w:r>
      <w:r w:rsidRPr="00AF223D">
        <w:rPr>
          <w:sz w:val="22"/>
        </w:rPr>
        <w:t>, which improves the prediction of soil quality and nutrient supply</w:t>
      </w:r>
      <w:r w:rsidR="00C00930">
        <w:rPr>
          <w:sz w:val="22"/>
        </w:rPr>
        <w:t xml:space="preserve"> </w:t>
      </w:r>
      <w:r w:rsidR="00C00930">
        <w:rPr>
          <w:sz w:val="22"/>
        </w:rPr>
        <w:fldChar w:fldCharType="begin"/>
      </w:r>
      <w:r w:rsidR="00C00930">
        <w:rPr>
          <w:sz w:val="22"/>
        </w:rPr>
        <w:instrText xml:space="preserve"> ADDIN ZOTERO_ITEM CSL_CITATION {"citationID":"6q48UPks","properties":{"unsorted":false,"formattedCitation":"(AbdelRahman &amp; Afifi, 2024)","plainCitation":"(AbdelRahman &amp; Afifi, 2024)","noteIndex":0},"citationItems":[{"id":492,"uris":["http://zotero.org/users/14068823/items/7AU4FHJB"],"itemData":{"id":492,"type":"article-journal","abstract":"Pressure on land is a consequence of population expansion, increased food consumption, and competition between land uses. Soils play a crucial role in supporting food production and providing ecosystem services. The demand for timely and relevant soil information that can support decision-making at different scales is increasing as efforts are made to ensure sustainable use of soil resources. Digital soil mapping (DSM) has become increasingly popular in various ecosystems, including arid, semi-arid, and humid regions, as well as rangelands and forests, due to its ability to overcome associated constraints to traditional methods of soil mapping. DSM offers a more efficient way to provide soil information in terms of time and cost, while improving map accuracy and providing quantified estimates of uncertainty. DSM involves the construction of soil spatial information systems using numerical models to analyze spatial and temporal variations in soil types and attributes based on soil observations, knowledge, and associated environmental factors. The main objective of this article is to present an overview of advances in thematic soil mapping in relation to advances in remote sensing (RS). First, we provide a brief summary of common tools used in DSM. Subsequently, we discuss advances in historical soil data, environmental variables, and applications of DSM tools. Finally, we present the major developments and future perspectives suggested by existing research. In conclusion, although DSM is becoming increasingly sophisticated to meet diverse soil information requirements, there are still issues to be addressed, particularly in highly heterogeneous and human-impacted environments. These issues require the development of new methodologies and applications of the DSM.","container-title":"Arabian Journal of Geosciences","DOI":"10.1007/s12517-024-12132-x","ISSN":"1866-7538","issue":"12","journalAbbreviation":"Arab J Geosci","language":"en","page":"330","source":"Springer Link","title":"Digital mapping of soil properties using geomatics: integration of GIS, GPS, and remote sensing applications","title-short":"Digital mapping of soil properties using geomatics","volume":"17","author":[{"family":"AbdelRahman","given":"Mohamed A. E."},{"family":"Afifi","given":"Ahmed A."}],"issued":{"date-parts":[["2024",12,2]]}}}],"schema":"https://github.com/citation-style-language/schema/raw/master/csl-citation.json"} </w:instrText>
      </w:r>
      <w:r w:rsidR="00C00930">
        <w:rPr>
          <w:sz w:val="22"/>
        </w:rPr>
        <w:fldChar w:fldCharType="separate"/>
      </w:r>
      <w:r w:rsidR="00C00930" w:rsidRPr="00C00930">
        <w:rPr>
          <w:rFonts w:cs="Times New Roman"/>
          <w:sz w:val="22"/>
        </w:rPr>
        <w:t>(AbdelRahman &amp; Afifi, 2024)</w:t>
      </w:r>
      <w:r w:rsidR="00C00930">
        <w:rPr>
          <w:sz w:val="22"/>
        </w:rPr>
        <w:fldChar w:fldCharType="end"/>
      </w:r>
      <w:r w:rsidR="00567092">
        <w:t xml:space="preserve">, </w:t>
      </w:r>
      <w:r w:rsidR="00567092" w:rsidRPr="00397B1C">
        <w:rPr>
          <w:color w:val="EE0000"/>
          <w:sz w:val="22"/>
        </w:rPr>
        <w:t xml:space="preserve">with recent applications in Peruvian agroecosystems demonstrating its utility for mapping </w:t>
      </w:r>
      <w:proofErr w:type="spellStart"/>
      <w:r w:rsidR="00567092" w:rsidRPr="00397B1C">
        <w:rPr>
          <w:color w:val="EE0000"/>
          <w:sz w:val="22"/>
        </w:rPr>
        <w:t>SQIw</w:t>
      </w:r>
      <w:proofErr w:type="spellEnd"/>
      <w:r w:rsidR="00567092" w:rsidRPr="00397B1C">
        <w:rPr>
          <w:color w:val="EE0000"/>
          <w:sz w:val="22"/>
        </w:rPr>
        <w:t>, nutrient constraints, and soil-amendment requirements</w:t>
      </w:r>
      <w:r w:rsidR="00C00930">
        <w:rPr>
          <w:color w:val="EE0000"/>
          <w:sz w:val="22"/>
        </w:rPr>
        <w:t xml:space="preserve"> </w:t>
      </w:r>
      <w:r w:rsidR="00C00930">
        <w:rPr>
          <w:color w:val="EE0000"/>
          <w:sz w:val="22"/>
        </w:rPr>
        <w:fldChar w:fldCharType="begin"/>
      </w:r>
      <w:r w:rsidR="00C00930">
        <w:rPr>
          <w:color w:val="EE0000"/>
          <w:sz w:val="22"/>
        </w:rPr>
        <w:instrText xml:space="preserve"> ADDIN ZOTERO_ITEM CSL_CITATION {"citationID":"cBSoYWCd","properties":{"unsorted":false,"formattedCitation":"(Cuellar-Condori et\\uc0\\u160{}al., 2026; Diaz-Chuquizuta et\\uc0\\u160{}al., 2026; Poma-Chamana et\\uc0\\u160{}al., 2025)","plainCitation":"(Cuellar-Condori et al., 2026; Diaz-Chuquizuta et al., 2026; Poma-Chamana et al., 2025)","noteIndex":0},"citationItems":[{"id":688,"uris":["http://zotero.org/users/14068823/items/AQVRS6J6"],"itemData":{"id":688,"type":"article-journal","abstract":"The pronounced heterogeneity of high-Andean soils constitutes a critical constraint to the sustainable productivity of quinoa in southern Peru, where current yields (1.6 t ha−1) remain well below potential (&gt;5 t ha−1). This study aimed to develop a spatially predictive model of a weighted soil quality index (SQIw), the edaphic supply of nitrogen (N), phosphorus (P) and potassium (K), and the agricultural gypsum requirement by integrating edaphoclimatic covariates through regression–kriging. A total of 198 quinoa-cultivated soil samples were analysed; a minimum data set (MDS) was defined using correlation and principal component analyses, and regression–kriging was applied to map SQIw and the variables of interest. The MDS comprised electrical conductivity (EC), organic matter (OM), available P, exchangeable Na, sand, clay, and effective cation exchange capacity (ECEC); exchangeable Na (Wi = 0.160) and available P (Wi = 0.158) received the largest weights in the SQIw. SQIw values ranged from 0.22 to 0.84 and supported a five-class soil quality taxonomy; spatial modelling revealed a dominance of moderate-quality soils across the territory (85.21% of the agricultural area, 13,461.19 ha). The model achieved R2 = 0.56, RMSE = 0.05, and MAE = 0.04 for SQIw. Most of the area (12,175.65 ha; 77%) exhibited an intermediate gypsum requirement (9.73–14.33 t ha−1). Nitrogen and phosphorus showed the greatest territorial limitations, whereas potassium was largely non-limiting (84.82–570.17 kg ha−1). These results indicate that sodicity and N–P deficiencies are the primary functional constraints; the generated maps enable prioritisation of gypsum amendments and targeted variable-rate fertilisation strategies to optimise the sustainability of quinoa production in the Altiplano.","container-title":"Agronomy","DOI":"10.3390/agronomy16070680","ISSN":"2073-4395","issue":"7","language":"en","license":"http://creativecommons.org/licenses/by/3.0/","page":"680","publisher":"Multidisciplinary Digital Publishing Institute","source":"www.mdpi.com","title":"Spatial Modelling of Soil Quality Index Using Regression–Kriging and Delineation of Nutrient Management Zones in High-Andean Quinoa Fields, Southern Peru","volume":"16","author":[{"family":"Cuellar-Condori","given":"Nestor"},{"family":"Mejia","given":"Sharon"},{"family":"Quiñones","given":"Robert"},{"family":"Mercado","given":"Ruth"},{"family":"Cristhian","given":"Ali"},{"family":"Chávez-Zea","given":"Karla"},{"family":"Ccosi","given":"Elvis"},{"family":"Cahuide","given":"Madeleiny"},{"family":"Quispe","given":"Kenyi"}],"issued":{"date-parts":[["2026",1]]}}},{"id":689,"uris":["http://zotero.org/users/14068823/items/2EBFTXHS"],"itemData":{"id":689,"type":"article-journal","abstract":"Soil heterogeneity and acidity are major constraints to Coffea arabica production in the Amazonian soils of Peru. This study developed a spatial predictive framework that integrates a weighted Soil Quality Index (SQIw) and geostatistical modelling (Regression–Kriging and Ordinary Kriging) to estimate lime requirements (LRs) and delineate management zones. A total of 69 coffee-cultivated soil samples were analysed, and spectral information (NDVI) was incorporated to estimate relative yield (RR). Multivariate analysis defined a Minimum Data Set (MDS) composed of exchangeable Na, available P, pH and silt percentage; the highest weights were assigned to P (Wi = 0.292) and pH (Wi = 0.276). SQIw exhibited wide variability (0.01–0.87; CV = 51.8%) and was grouped into five classes, with low (43.5%)- and very low (21.7%)-quality classes predominating. SQIw showed a strong relationship with RR (r = 0.64). Geostatistical models performed differently between localities: in Nuevo Huancabamba, Regression–Kriging improved prediction accuracy (SQIw: R2 = 0.58; LR: R2 = 0.396), whereas in San José de Sisa, Ordinary Kriging provided better fits only for LRs (R2 = 0.32). Nuevo Huancabamba is dominated by moderate-to-high-quality soils (87.29%; SQIw &gt; 0.6) and low lime requirements (74.94%; &lt;0.84 t ha−1), in contrast with San José de Sisa, where low-quality soils prevail (89.45%; SQIw &lt; 0.4) alongside high LRs (75.26%; 2.54–7.13 t ha−1). The resulting maps enable targeted interventions—precision liming and focused P fertilisation—to correct acidity and phosphorus deficiency, thereby improving input-use efficiency and enhancing the sustainability of Amazonian coffee systems.","container-title":"AgriEngineering","DOI":"10.3390/agriengineering8030079","ISSN":"2624-7402","issue":"3","language":"en","license":"http://creativecommons.org/licenses/by/3.0/","page":"79","publisher":"Multidisciplinary Digital Publishing Institute","source":"www.mdpi.com","title":"Spatial Modelling of Soil Quality and Lime Requirement for Precision Management in Humid Tropical Coffee Systems","volume":"8","author":[{"family":"Diaz-Chuquizuta","given":"Henry"},{"family":"Mejia","given":"Sharon"},{"family":"Mercado","given":"Ruth"},{"family":"Arroyo-Julca","given":"Michell K."},{"family":"Ore","given":"Ruddy"},{"family":"Diaz-Chuquizuta","given":"Percy"},{"family":"Manrique Gonzales","given":"Luis Fernando"},{"family":"Sánchez-Ojanasta","given":"Martín"},{"family":"Quispe","given":"Kenyi"}],"issued":{"date-parts":[["2026",3]]}}},{"id":479,"uris":["http://zotero.org/users/14068823/items/S3XSQZ8S"],"itemData":{"id":479,"type":"article-journal","abstract":"Efficient soil fertility management in arid environments requires a clear understanding of the spatial variability of soil properties and their relationship with vegetation vigor. This study presents an integrated geospatial–edaphic framework that combines multivariate analysis and spatial modeling to quantify and map soil fertility in arid agricultural landscapes. We developed soil fertility maps for the Tambo Valley (Arequipa, Peru) by integrating edaphic and geospatial indicators through regression kriging. A total of 491 soil samples were analyzed for 22 physicochemical variables—including macro- and micronutrients, pH, texture, and bulk density—complemented with NDVI and geomorphological factors. Spearman’s correlation analysis showed positive associations between NDVI and the availability of P, Cu, and Co (r = 0.37–0.54), and negative correlations with pH and sand content (r = –0.33 and –0.31). Principal component analysis (PCA) identified fertility gradients driven by phosphorus availability, alkalinity, and micronutrient content (PC1 = 48.6%; PC2 = 11.9%). A weighted soil fertility index (SFIw) derived from the PCA was classified into low (≤0.26), medium (0.27–0.50), and high (&gt;0.50) categories, based on data-driven tertiles of the index distribution. Regression kriging of the SFIw achieved robust spatial prediction (R² = 0.68; RMSE = 0.11), ensuring reliable mapping of fertility patterns. The highest SFIw values were found in Cocachacra and Deán Valdivia districts, linked to fertile fluvial–alluvial soils, whereas Mejía and Mollendo exhibited low indices associated with sandy and alkaline conditions. Based on these spatial patterns, three management zones were delineated: (1) high-fertility areas requiring balanced nutrient replacement, (2) medium-fertility areas needing phosphorus regulation, and (3) low-fertility areas requiring soil amendments and pH correction. The resulting maps revealed that 86.7% of the agricultural area has low or medium fertility, demonstrating the potential of PCA-weighted regression kriging as a scalable tool for precision nutrient management and sustainable intensification in arid regions.","container-title":"Frontiers in Soil Science","DOI":"10.3389/fsoil.2025.1706974","ISSN":"2673-8619","journalAbbreviation":"Front. Soil Sci.","language":"English","publisher":"Frontiers","source":"Frontiers","title":"Estimation and mapping of soil fertility index in arid agricultural environments of the Tambo Valley using regression kriging","URL":"https://www.frontiersin.org/journals/soil-science/articles/10.3389/fsoil.2025.1706974/full","volume":"5","author":[{"family":"Poma-Chamana","given":"Russell"},{"family":"Vilca-Gamarra","given":"Cesar"},{"family":"Hermoza","given":"Nilton"},{"family":"Mercado","given":"Ruth"},{"family":"Mejía","given":"Sharon"},{"family":"Rengifo","given":"Raihil"},{"family":"Quispe","given":"Kenyi"}],"accessed":{"date-parts":[["2025",12,22]]},"issued":{"date-parts":[["2025",12,12]]}}}],"schema":"https://github.com/citation-style-language/schema/raw/master/csl-citation.json"} </w:instrText>
      </w:r>
      <w:r w:rsidR="00C00930">
        <w:rPr>
          <w:color w:val="EE0000"/>
          <w:sz w:val="22"/>
        </w:rPr>
        <w:fldChar w:fldCharType="separate"/>
      </w:r>
      <w:r w:rsidR="00C00930" w:rsidRPr="00C00930">
        <w:rPr>
          <w:rFonts w:cs="Times New Roman"/>
          <w:sz w:val="22"/>
        </w:rPr>
        <w:t>(Cuellar-Condori et al., 2026; Diaz-Chuquizuta et al., 2026; Poma-Chamana et al., 2025)</w:t>
      </w:r>
      <w:r w:rsidR="00C00930">
        <w:rPr>
          <w:color w:val="EE0000"/>
          <w:sz w:val="22"/>
        </w:rPr>
        <w:fldChar w:fldCharType="end"/>
      </w:r>
      <w:r w:rsidRPr="00AF223D">
        <w:rPr>
          <w:sz w:val="22"/>
        </w:rPr>
        <w:t>. Machine learning (ML) methods, such as Random Forest (RF), are good at modeling nonlinear relationships and accommodate nonnormally distributed data</w:t>
      </w:r>
      <w:r w:rsidR="00C00930">
        <w:rPr>
          <w:sz w:val="22"/>
        </w:rPr>
        <w:t xml:space="preserve"> </w:t>
      </w:r>
      <w:r w:rsidR="00C00930">
        <w:rPr>
          <w:sz w:val="22"/>
        </w:rPr>
        <w:fldChar w:fldCharType="begin"/>
      </w:r>
      <w:r w:rsidR="00C00930">
        <w:rPr>
          <w:sz w:val="22"/>
        </w:rPr>
        <w:instrText xml:space="preserve"> ADDIN ZOTERO_ITEM CSL_CITATION {"citationID":"jYdgPCiz","properties":{"unsorted":false,"formattedCitation":"(Diaz-Gonzalez et\\uc0\\u160{}al., 2022)","plainCitation":"(Diaz-Gonzalez et al., 2022)","noteIndex":0},"citationItems":[{"id":583,"uris":["http://zotero.org/users/14068823/items/6JY4DV9X"],"itemData":{"id":583,"type":"article-journal","abstract":"The demand for food based on intensive agriculture has decreased soil quality, posing great challenges such as increasing agricultural productivity and promoting environmental sustainability. Thus, researchers have focused on developing models for estimating soil quality based on artificial intelligence techniques for the processing of multidimensional data from agro-industrial systems, which provide useful information for farmers about soil management and crop conditions. However, a model for the application of these new technologies in medium and low-scale agricultural systems has not been identified. Therefore, a review of recent studies of crop yield prediction based on the estimation of chemical, physical, and biological soil quality indicators (SQI), which incorporate different machine learning (ML) techniques to process data from remote sensing (RS) systems, is presented. The advantages and disadvantages are also analyzed for: SQI estimates at regional and local scale, spectral bands used for analysis of plowed soils (bare soils) of cultivation plots, selection of minimun data set (MDS), use of unmanned aerial vehicle (UAV) and satellite platforms, data pre-processing, and selection of ML algorithms for processing biological systems databases (agro-industrial systems). Finally, we present a model to help estimate soil quality in agricultural systems at a local scale, based on ML to process RS data, in the model the inputs to the ML unit come from four different class data sets (RS, SQI, environmental data and crop management data). Crop management uses the production of the ML unit to adjust agricultural management practices and therefore improve crop yield.","container-title":"Ecological Indicators","DOI":"10.1016/j.ecolind.2021.108517","ISSN":"1470-160X","journalAbbreviation":"Ecological Indicators","page":"108517","source":"ScienceDirect","title":"Machine learning and remote sensing techniques applied to estimate soil indicators – Review","volume":"135","author":[{"family":"Diaz-Gonzalez","given":"Freddy A."},{"family":"Vuelvas","given":"Jose"},{"family":"Correa","given":"Carlos A."},{"family":"Vallejo","given":"Victoria E."},{"family":"Patino","given":"D."}],"issued":{"date-parts":[["2022",2,1]]}}}],"schema":"https://github.com/citation-style-language/schema/raw/master/csl-citation.json"} </w:instrText>
      </w:r>
      <w:r w:rsidR="00C00930">
        <w:rPr>
          <w:sz w:val="22"/>
        </w:rPr>
        <w:fldChar w:fldCharType="separate"/>
      </w:r>
      <w:r w:rsidR="00C00930" w:rsidRPr="00C00930">
        <w:rPr>
          <w:rFonts w:cs="Times New Roman"/>
          <w:sz w:val="22"/>
        </w:rPr>
        <w:t>(Diaz-Gonzalez et al., 2022)</w:t>
      </w:r>
      <w:r w:rsidR="00C00930">
        <w:rPr>
          <w:sz w:val="22"/>
        </w:rPr>
        <w:fldChar w:fldCharType="end"/>
      </w:r>
      <w:r w:rsidRPr="00AF223D">
        <w:rPr>
          <w:sz w:val="22"/>
        </w:rPr>
        <w:t>, but they do not directly account for spatial autocorrelation. Conversely, geostatistical methods are suitable for modeling spatial dependence, but they are not as effective at capturing complex and nonlinear interactions. Hybrid methods, like RF regression kriging (RF+RK), combine the best parts of both methods to make predictions more accurate by dealing with unexplained spatial variability</w:t>
      </w:r>
      <w:r w:rsidR="00C00930">
        <w:rPr>
          <w:sz w:val="22"/>
        </w:rPr>
        <w:t xml:space="preserve"> </w:t>
      </w:r>
      <w:r w:rsidR="00C00930">
        <w:rPr>
          <w:sz w:val="22"/>
        </w:rPr>
        <w:fldChar w:fldCharType="begin"/>
      </w:r>
      <w:r w:rsidR="00C00930">
        <w:rPr>
          <w:sz w:val="22"/>
        </w:rPr>
        <w:instrText xml:space="preserve"> ADDIN ZOTERO_ITEM CSL_CITATION {"citationID":"l2MdTBMA","properties":{"unsorted":false,"formattedCitation":"(Diaz-Gonzalez et\\uc0\\u160{}al., 2022; Matazi et\\uc0\\u160{}al., 2024)","plainCitation":"(Diaz-Gonzalez et al., 2022; Matazi et al., 2024)","noteIndex":0},"citationItems":[{"id":583,"uris":["http://zotero.org/users/14068823/items/6JY4DV9X"],"itemData":{"id":583,"type":"article-journal","abstract":"The demand for food based on intensive agriculture has decreased soil quality, posing great challenges such as increasing agricultural productivity and promoting environmental sustainability. Thus, researchers have focused on developing models for estimating soil quality based on artificial intelligence techniques for the processing of multidimensional data from agro-industrial systems, which provide useful information for farmers about soil management and crop conditions. However, a model for the application of these new technologies in medium and low-scale agricultural systems has not been identified. Therefore, a review of recent studies of crop yield prediction based on the estimation of chemical, physical, and biological soil quality indicators (SQI), which incorporate different machine learning (ML) techniques to process data from remote sensing (RS) systems, is presented. The advantages and disadvantages are also analyzed for: SQI estimates at regional and local scale, spectral bands used for analysis of plowed soils (bare soils) of cultivation plots, selection of minimun data set (MDS), use of unmanned aerial vehicle (UAV) and satellite platforms, data pre-processing, and selection of ML algorithms for processing biological systems databases (agro-industrial systems). Finally, we present a model to help estimate soil quality in agricultural systems at a local scale, based on ML to process RS data, in the model the inputs to the ML unit come from four different class data sets (RS, SQI, environmental data and crop management data). Crop management uses the production of the ML unit to adjust agricultural management practices and therefore improve crop yield.","container-title":"Ecological Indicators","DOI":"10.1016/j.ecolind.2021.108517","ISSN":"1470-160X","journalAbbreviation":"Ecological Indicators","page":"108517","source":"ScienceDirect","title":"Machine learning and remote sensing techniques applied to estimate soil indicators – Review","volume":"135","author":[{"family":"Diaz-Gonzalez","given":"Freddy A."},{"family":"Vuelvas","given":"Jose"},{"family":"Correa","given":"Carlos A."},{"family":"Vallejo","given":"Victoria E."},{"family":"Patino","given":"D."}],"issued":{"date-parts":[["2022",2,1]]}}},{"id":582,"uris":["http://zotero.org/users/14068823/items/MS4QU92H"],"itemData":{"id":582,"type":"article-journal","abstract":"Nowadays, information on the spatial distribution of soil properties is considered a key element for environmental research and for agricultural planning and decision-making to monitor soil conditions, agricultural policies, etc. Developing models for spatial data is easy, but reliable predictions from such models are sometimes challenging due to the data features. Using simulation and data from the WoSI-ISRIC SoilGrid 250 m, we compared the predictive performance of five models: Spatial Linear Regression (SLR-REML), Machine learning (ML)-based models (Random Forest: RF and Random Forest Residual Kriging: RFRK), and Bayesian models (Integrated Laplace Approximation-Stochastic Partial Differential Equations: INLA-SPDE and spBAYES). Considering data characteristics such as spatial autocorrelation, range parameter, strength and type of relationship between the response variable and covariates, we cross-validated the models’ results using the following criteria: precision, unbiasedness, and uncertainty (RMSE, coefficient of determination (R$$^{2}$$), Lin’s concordance coefficient ($$\\rho _{c}$$), and predicted interval coverage probability (PICP)). The results revealed the high precision of SLR-REML with a small bias in the case of low spatial autocorrelation. ML models (RF and RFRK) stood by their ability to account for nonlinearities, particularly the flexibility of RFRK to handle high spatial autocorrelation. The INLA-SPDE model was robust to all data characteristics. Despite its drawbacks related to the computation time observed, the SLR-REML model relaxed the minimum limit about the number of observations required in the classical regression by linear mixed modeling (REML-LMM) to make better predictions in Digital Soil Mapping (DSM). In addition to commonly used machine learning (ML) techniques, INLA-SPDE and SLR could be suitable for the understanding, characterization and mapping through spatiotemporal modeling of soil properties and environmental variables.","container-title":"Modeling Earth Systems and Environment","DOI":"10.1007/s40808-023-01788-1","ISSN":"2363-6211","issue":"1","journalAbbreviation":"Model. Earth Syst. Environ.","language":"en","page":"595-618","source":"Springer Link","title":"Digital soil mapping: a predictive performance assessment of spatial linear regression, Bayesian and ML-based models","title-short":"Digital soil mapping","volume":"10","author":[{"family":"Matazi","given":"Alain Kangela"},{"family":"Gognet","given":"Emmanuel Ehnon"},{"family":"Kakaï","given":"Romain Glèlè"}],"issued":{"date-parts":[["2024",2,1]]}}}],"schema":"https://github.com/citation-style-language/schema/raw/master/csl-citation.json"} </w:instrText>
      </w:r>
      <w:r w:rsidR="00C00930">
        <w:rPr>
          <w:sz w:val="22"/>
        </w:rPr>
        <w:fldChar w:fldCharType="separate"/>
      </w:r>
      <w:r w:rsidR="00C00930" w:rsidRPr="00C00930">
        <w:rPr>
          <w:rFonts w:cs="Times New Roman"/>
          <w:sz w:val="22"/>
        </w:rPr>
        <w:t>(Diaz-Gonzalez et al., 2022; Matazi et al., 2024)</w:t>
      </w:r>
      <w:r w:rsidR="00C00930">
        <w:rPr>
          <w:sz w:val="22"/>
        </w:rPr>
        <w:fldChar w:fldCharType="end"/>
      </w:r>
      <w:r w:rsidRPr="00AF223D">
        <w:rPr>
          <w:sz w:val="22"/>
        </w:rPr>
        <w:t>. Research indicates that RF+RK outperforms standalone models, including RF, CART, and various machine learning algorithms, in forecasting soil properties</w:t>
      </w:r>
      <w:r w:rsidR="00C00930">
        <w:rPr>
          <w:sz w:val="22"/>
        </w:rPr>
        <w:t xml:space="preserve"> </w:t>
      </w:r>
      <w:r w:rsidR="00C00930">
        <w:rPr>
          <w:sz w:val="22"/>
        </w:rPr>
        <w:fldChar w:fldCharType="begin"/>
      </w:r>
      <w:r w:rsidR="00C00930">
        <w:rPr>
          <w:sz w:val="22"/>
        </w:rPr>
        <w:instrText xml:space="preserve"> ADDIN ZOTERO_ITEM CSL_CITATION {"citationID":"ahuoowmo","properties":{"unsorted":false,"formattedCitation":"(Dharumarajan et\\uc0\\u160{}al., 2022; Wang et\\uc0\\u160{}al., 2019)","plainCitation":"(Dharumarajan et al., 2022; Wang et al., 2019)","noteIndex":0},"citationItems":[{"id":580,"uris":["http://zotero.org/users/14068823/items/BXFIS2TY"],"itemData":{"id":580,"type":"article-journal","abstract":"Detailed maps of soil nutrients are important to identify the areas of fertility constraints and assist farmers on agricultural management measures for better crop productivity. In the present study, we evaluated a digital soil mapping approach for predictions of macronutrients (P2O5, K2O, and S) and micronutrients (Fe, Mn Cu, Zn, and B) along with other soil fertility indicators like soil pH, electrical conductivity (EC), and soil organic carbon in part of northern Karnataka Plateau (1373 km2). Five data mining algorithms, viz., multi-linear regression (MLR), cubist, random forest (RF), support vector machine (SVM), and random forest regression kriging (RFRK), were evaluated using 1297 surface samples (0–30 cm) collected from different land uses of the study area. Terrain attributes, Landsat 8 OLI data, present land use, and climatic datasets like annual average precipitation, maximum temperature, and minimum temperature were used as environmental covariates, and the models were calibrated using 80% of total field observations and validated using 20% of datasets. RFRK model performed well compared to other models for the prediction of soil fertility parameters (R2 = 9–48%). The order of performance for most of the soil parameters was RFRK &gt; RF &gt; SVM &gt; Cubist &gt; MLR. For the micronutrients, RFRK explained 36% of the variation for DTPA extractable Cu, 34% of variation for DTPA extractable Fe, and 23% of variation for DTPA extractable Mn. We prepared soil fertility parameters at 100-m spatial resolution, and the results were used for the calculation of soil fertility index (SFI) based on additive SFI approach. The high-resolution soil nutrient maps and SFI are useful for delineation of fertility-constrained areas and better-targeted fertilizer recommendations for nutrient management.","container-title":"Arabian Journal of Geosciences","DOI":"10.1007/s12517-022-09629-8","ISSN":"1866-7538","issue":"5","journalAbbreviation":"Arab J Geosci","language":"en","page":"386","source":"Springer Link","title":"Evaluation of digital soil mapping approach for predicting soil fertility parameters—a case study from Karnataka Plateau, India","volume":"15","author":[{"family":"Dharumarajan","given":"Subramanian"},{"family":"Lalitha","given":"Manickam"},{"family":"Niranjana","given":"KV"},{"family":"Hegde","given":"Rajendra"}],"issued":{"date-parts":[["2022",2,18]]}}},{"id":581,"uris":["http://zotero.org/users/14068823/items/62HAL4Z2"],"itemData":{"id":581,"type":"article-journal","abstract":"Soil pH is a vital attribute of soil fertility. The accurate and efficient prediction of soil pH can provide the necessary basic information for agricultural development. In the present study, random forest with residual kriging (RFRK) was used to predict soil pH based on stratum, climate, vegetation and topography in a hilly region. The performance of RFRK was compared with those of the classification and regression tree (CART) and the random forest (RF). Comparative results showed that RFRK provided the best performance. The corresponding values of Lin’s concordance correlation coefficient, coefficient of determination, mean absolute error and root mean square error were as follows: 0.70, 0.51, 0.44 and 0.61 for CART; 0.80, 0.70, 0.34 and 0.48 for RF; and 0.88, 0.80, 0.25 and 0.39 for RFRK. Stratum and average annual temperature were the most important factors affecting the soil pH in the study area. Results indicate that RFRK is a feasible and reliable tool for predicting soil pH in hilly regions.","container-title":"Soil Research","DOI":"10.1071/SR18319","ISSN":"1838-675X","issue":"4","journalAbbreviation":"Soil Res","page":"387-396","source":"Silverchair","title":"Digital mapping of topsoil pH by random forest with residual kriging (RFRK) in a hilly region","volume":"57","author":[{"family":"Wang","given":"Lei"},{"family":"Wu","given":"Wei"},{"family":"Liu","given":"Hong-Bin"}],"issued":{"date-parts":[["2019",4,9]]}}}],"schema":"https://github.com/citation-style-language/schema/raw/master/csl-citation.json"} </w:instrText>
      </w:r>
      <w:r w:rsidR="00C00930">
        <w:rPr>
          <w:sz w:val="22"/>
        </w:rPr>
        <w:fldChar w:fldCharType="separate"/>
      </w:r>
      <w:r w:rsidR="00C00930" w:rsidRPr="00C00930">
        <w:rPr>
          <w:rFonts w:cs="Times New Roman"/>
          <w:sz w:val="22"/>
        </w:rPr>
        <w:t>(Dharumarajan et al., 2022; Wang et al., 2019)</w:t>
      </w:r>
      <w:r w:rsidR="00C00930">
        <w:rPr>
          <w:sz w:val="22"/>
        </w:rPr>
        <w:fldChar w:fldCharType="end"/>
      </w:r>
      <w:r w:rsidRPr="00AF223D">
        <w:rPr>
          <w:sz w:val="22"/>
        </w:rPr>
        <w:t>.</w:t>
      </w:r>
    </w:p>
    <w:p w14:paraId="6213353C" w14:textId="05E8B540" w:rsidR="003B41E9" w:rsidRPr="00AF223D" w:rsidRDefault="00000000">
      <w:pPr>
        <w:rPr>
          <w:sz w:val="22"/>
        </w:rPr>
      </w:pPr>
      <w:r w:rsidRPr="00AF223D">
        <w:rPr>
          <w:sz w:val="22"/>
        </w:rPr>
        <w:lastRenderedPageBreak/>
        <w:t>Agriculture constitutes a vital component of the Piura region’s economic framework, accounting for approximately 9% to 10% of the regional GDP and between 27% and 29% of formal employment, thereby highlighting its economic and social significance along Peru’s northern coast</w:t>
      </w:r>
      <w:r w:rsidR="0014150F">
        <w:rPr>
          <w:sz w:val="22"/>
        </w:rPr>
        <w:t xml:space="preserve"> </w:t>
      </w:r>
      <w:r w:rsidR="0014150F">
        <w:rPr>
          <w:sz w:val="22"/>
        </w:rPr>
        <w:fldChar w:fldCharType="begin"/>
      </w:r>
      <w:r w:rsidR="0014150F">
        <w:rPr>
          <w:sz w:val="22"/>
        </w:rPr>
        <w:instrText xml:space="preserve"> ADDIN ZOTERO_ITEM CSL_CITATION {"citationID":"G04BRrfJ","properties":{"unsorted":false,"formattedCitation":"(Instituto Nacional de Estad\\uc0\\u237{}stica e Inform\\uc0\\u225{}tica (INEI), 2024)","plainCitation":"(Instituto Nacional de Estadística e Informática (INEI), 2024)","noteIndex":0},"citationItems":[{"id":547,"uris":["http://zotero.org/users/14068823/items/EXCBVW72"],"itemData":{"id":547,"type":"webpage","title":"Producto bruto interno regional y empleo por actividades económicas","URL":"https://m.inei.gob.pe/estadisticas/indice-tematico/economia/","author":[{"family":"Instituto Nacional de Estadística e Informática (INEI)","given":""}],"accessed":{"date-parts":[["2025",12,22]]},"issued":{"date-parts":[["2024"]]}}}],"schema":"https://github.com/citation-style-language/schema/raw/master/csl-citation.json"} </w:instrText>
      </w:r>
      <w:r w:rsidR="0014150F">
        <w:rPr>
          <w:sz w:val="22"/>
        </w:rPr>
        <w:fldChar w:fldCharType="separate"/>
      </w:r>
      <w:r w:rsidR="0014150F" w:rsidRPr="0014150F">
        <w:rPr>
          <w:rFonts w:cs="Times New Roman"/>
          <w:sz w:val="22"/>
        </w:rPr>
        <w:t>(Instituto Nacional de Estadística e Informática (INEI), 2024)</w:t>
      </w:r>
      <w:r w:rsidR="0014150F">
        <w:rPr>
          <w:sz w:val="22"/>
        </w:rPr>
        <w:fldChar w:fldCharType="end"/>
      </w:r>
      <w:r w:rsidRPr="00AF223D">
        <w:rPr>
          <w:sz w:val="22"/>
        </w:rPr>
        <w:t xml:space="preserve">. Within the province, </w:t>
      </w:r>
      <w:proofErr w:type="spellStart"/>
      <w:r w:rsidRPr="00AF223D">
        <w:rPr>
          <w:sz w:val="22"/>
        </w:rPr>
        <w:t>Morropón</w:t>
      </w:r>
      <w:proofErr w:type="spellEnd"/>
      <w:r w:rsidRPr="00AF223D">
        <w:rPr>
          <w:sz w:val="22"/>
        </w:rPr>
        <w:t xml:space="preserve">, </w:t>
      </w:r>
      <w:proofErr w:type="spellStart"/>
      <w:r w:rsidRPr="00AF223D">
        <w:rPr>
          <w:sz w:val="22"/>
        </w:rPr>
        <w:t>Sullana</w:t>
      </w:r>
      <w:proofErr w:type="spellEnd"/>
      <w:r w:rsidRPr="00AF223D">
        <w:rPr>
          <w:sz w:val="22"/>
        </w:rPr>
        <w:t>, and Piura serve as a strategic hub for fruit cultivation, with mangoes predominantly cultivated in the San Lorenzo Valley and plantains concentrated in the Chira Valley</w:t>
      </w:r>
      <w:r w:rsidR="0014150F">
        <w:rPr>
          <w:sz w:val="22"/>
        </w:rPr>
        <w:t xml:space="preserve"> </w:t>
      </w:r>
      <w:r w:rsidR="0014150F">
        <w:rPr>
          <w:sz w:val="22"/>
        </w:rPr>
        <w:fldChar w:fldCharType="begin"/>
      </w:r>
      <w:r w:rsidR="0014150F">
        <w:rPr>
          <w:sz w:val="22"/>
        </w:rPr>
        <w:instrText xml:space="preserve"> ADDIN ZOTERO_ITEM CSL_CITATION {"citationID":"YsgjyQtZ","properties":{"unsorted":false,"formattedCitation":"(Ministerio de Desarrollo Agrario y Riego, 2025)","plainCitation":"(Ministerio de Desarrollo Agrario y Riego, 2025)","noteIndex":0},"citationItems":[{"id":148,"uris":["http://zotero.org/users/14068823/items/SCGEDLQJ"],"itemData":{"id":148,"type":"webpage","language":"es-es","title":"Sistema Integrado de Estadísticas Agrarias","URL":"https://siea.midagri.gob.pe/portal/","author":[{"family":"Ministerio de Desarrollo Agrario y Riego","given":"MIDAGRI"}],"accessed":{"date-parts":[["2025",4,10]]},"issued":{"date-parts":[["2025"]]}}}],"schema":"https://github.com/citation-style-language/schema/raw/master/csl-citation.json"} </w:instrText>
      </w:r>
      <w:r w:rsidR="0014150F">
        <w:rPr>
          <w:sz w:val="22"/>
        </w:rPr>
        <w:fldChar w:fldCharType="separate"/>
      </w:r>
      <w:r w:rsidR="0014150F" w:rsidRPr="0014150F">
        <w:rPr>
          <w:rFonts w:cs="Times New Roman"/>
          <w:sz w:val="22"/>
        </w:rPr>
        <w:t>(Ministerio de Desarrollo Agrario y Riego, 2025)</w:t>
      </w:r>
      <w:r w:rsidR="0014150F">
        <w:rPr>
          <w:sz w:val="22"/>
        </w:rPr>
        <w:fldChar w:fldCharType="end"/>
      </w:r>
      <w:r w:rsidRPr="00AF223D">
        <w:rPr>
          <w:sz w:val="22"/>
        </w:rPr>
        <w:t xml:space="preserve">. Mangoes represent the region’s third most significant crop, contributing roughly 7.1% to agricultural production. Furthermore, the Piura region is responsible for approximately 70% of the national mango </w:t>
      </w:r>
      <w:r w:rsidR="0014150F">
        <w:rPr>
          <w:sz w:val="22"/>
        </w:rPr>
        <w:fldChar w:fldCharType="begin"/>
      </w:r>
      <w:r w:rsidR="0014150F">
        <w:rPr>
          <w:sz w:val="22"/>
        </w:rPr>
        <w:instrText xml:space="preserve"> ADDIN ZOTERO_ITEM CSL_CITATION {"citationID":"9eTrUz9d","properties":{"unsorted":false,"formattedCitation":"(Ministerio de Desarrollo Agrario y Riego, 2025)","plainCitation":"(Ministerio de Desarrollo Agrario y Riego, 2025)","noteIndex":0},"citationItems":[{"id":148,"uris":["http://zotero.org/users/14068823/items/SCGEDLQJ"],"itemData":{"id":148,"type":"webpage","language":"es-es","title":"Sistema Integrado de Estadísticas Agrarias","URL":"https://siea.midagri.gob.pe/portal/","author":[{"family":"Ministerio de Desarrollo Agrario y Riego","given":"MIDAGRI"}],"accessed":{"date-parts":[["2025",4,10]]},"issued":{"date-parts":[["2025"]]}}}],"schema":"https://github.com/citation-style-language/schema/raw/master/csl-citation.json"} </w:instrText>
      </w:r>
      <w:r w:rsidR="0014150F">
        <w:rPr>
          <w:sz w:val="22"/>
        </w:rPr>
        <w:fldChar w:fldCharType="separate"/>
      </w:r>
      <w:r w:rsidR="0014150F" w:rsidRPr="0014150F">
        <w:rPr>
          <w:rFonts w:cs="Times New Roman"/>
          <w:sz w:val="22"/>
        </w:rPr>
        <w:t>(Ministerio de Desarrollo Agrario y Riego, 2025)</w:t>
      </w:r>
      <w:r w:rsidR="0014150F">
        <w:rPr>
          <w:sz w:val="22"/>
        </w:rPr>
        <w:fldChar w:fldCharType="end"/>
      </w:r>
      <w:r w:rsidRPr="00AF223D">
        <w:rPr>
          <w:sz w:val="22"/>
        </w:rPr>
        <w:t>. During the 2024/2025 season, mango production approximated 415,000 tons, and exports were roughly 259,900 tons</w:t>
      </w:r>
      <w:r w:rsidR="0014150F">
        <w:rPr>
          <w:sz w:val="22"/>
        </w:rPr>
        <w:t xml:space="preserve"> </w:t>
      </w:r>
      <w:r w:rsidR="0014150F">
        <w:rPr>
          <w:sz w:val="22"/>
        </w:rPr>
        <w:fldChar w:fldCharType="begin"/>
      </w:r>
      <w:r w:rsidR="0014150F">
        <w:rPr>
          <w:sz w:val="22"/>
        </w:rPr>
        <w:instrText xml:space="preserve"> ADDIN ZOTERO_ITEM CSL_CITATION {"citationID":"SUk7l74I","properties":{"unsorted":false,"formattedCitation":"(PROMPER\\uc0\\u218{}, 2024)","plainCitation":"(PROMPERÚ, 2024)","noteIndex":0},"citationItems":[{"id":543,"uris":["http://zotero.org/users/14068823/items/DRMVWIUW"],"itemData":{"id":543,"type":"webpage","abstract":"Descarga el Informe de Resultados de Exportaciones 2024 en Perú en distintos sectores: agronegocio, pesquero, industria textil entre otros.","language":"es","title":"Resultados de Exportaciones 2024","URL":"https://exportemos.pe/recurso/31539/resultados-de-exportaciones-peru-2024","author":[{"family":"PROMPERÚ","given":""}],"accessed":{"date-parts":[["2025",12,22]]},"issued":{"date-parts":[["2024"]]}}}],"schema":"https://github.com/citation-style-language/schema/raw/master/csl-citation.json"} </w:instrText>
      </w:r>
      <w:r w:rsidR="0014150F">
        <w:rPr>
          <w:sz w:val="22"/>
        </w:rPr>
        <w:fldChar w:fldCharType="separate"/>
      </w:r>
      <w:r w:rsidR="0014150F" w:rsidRPr="0014150F">
        <w:rPr>
          <w:rFonts w:cs="Times New Roman"/>
          <w:sz w:val="22"/>
        </w:rPr>
        <w:t>(PROMPERÚ, 2024)</w:t>
      </w:r>
      <w:r w:rsidR="0014150F">
        <w:rPr>
          <w:sz w:val="22"/>
        </w:rPr>
        <w:fldChar w:fldCharType="end"/>
      </w:r>
      <w:r w:rsidRPr="00AF223D">
        <w:rPr>
          <w:sz w:val="22"/>
        </w:rPr>
        <w:t xml:space="preserve">. Bananas, typically cultivated using organic methods, contribute approximately 5.7% to the regional agricultural value. This positions Piura as the second-largest national producer, with an estimated share of 14.4% </w:t>
      </w:r>
      <w:r w:rsidR="0014150F">
        <w:rPr>
          <w:sz w:val="22"/>
        </w:rPr>
        <w:fldChar w:fldCharType="begin"/>
      </w:r>
      <w:r w:rsidR="0014150F">
        <w:rPr>
          <w:sz w:val="22"/>
        </w:rPr>
        <w:instrText xml:space="preserve"> ADDIN ZOTERO_ITEM CSL_CITATION {"citationID":"lhwaC9Fd","properties":{"unsorted":false,"formattedCitation":"(Ministerio de Desarrollo Agrario y Riego, 2025)","plainCitation":"(Ministerio de Desarrollo Agrario y Riego, 2025)","noteIndex":0},"citationItems":[{"id":148,"uris":["http://zotero.org/users/14068823/items/SCGEDLQJ"],"itemData":{"id":148,"type":"webpage","language":"es-es","title":"Sistema Integrado de Estadísticas Agrarias","URL":"https://siea.midagri.gob.pe/portal/","author":[{"family":"Ministerio de Desarrollo Agrario y Riego","given":"MIDAGRI"}],"accessed":{"date-parts":[["2025",4,10]]},"issued":{"date-parts":[["2025"]]}}}],"schema":"https://github.com/citation-style-language/schema/raw/master/csl-citation.json"} </w:instrText>
      </w:r>
      <w:r w:rsidR="0014150F">
        <w:rPr>
          <w:sz w:val="22"/>
        </w:rPr>
        <w:fldChar w:fldCharType="separate"/>
      </w:r>
      <w:r w:rsidR="0014150F" w:rsidRPr="0014150F">
        <w:rPr>
          <w:rFonts w:cs="Times New Roman"/>
          <w:sz w:val="22"/>
        </w:rPr>
        <w:t>(Ministerio de Desarrollo Agrario y Riego, 2025)</w:t>
      </w:r>
      <w:r w:rsidR="0014150F">
        <w:rPr>
          <w:sz w:val="22"/>
        </w:rPr>
        <w:fldChar w:fldCharType="end"/>
      </w:r>
      <w:r w:rsidRPr="00AF223D">
        <w:rPr>
          <w:sz w:val="22"/>
        </w:rPr>
        <w:t>. These crops collectively underpin regional agricultural exports, bolster rural livelihoods, and are essential for food security within arid agroecosystems. However, soil quality constraints strongly condition their productivity.</w:t>
      </w:r>
    </w:p>
    <w:p w14:paraId="15EE235B" w14:textId="3C84170F" w:rsidR="003B41E9" w:rsidRPr="00AF223D" w:rsidRDefault="00000000">
      <w:pPr>
        <w:rPr>
          <w:sz w:val="22"/>
        </w:rPr>
      </w:pPr>
      <w:r w:rsidRPr="00AF223D">
        <w:rPr>
          <w:sz w:val="22"/>
        </w:rPr>
        <w:t xml:space="preserve">These requirements are exacerbated in Piura’s arid agroecosystems by strong spatial heterogeneity of soil properties and by the frequent occurrence of salinity and </w:t>
      </w:r>
      <w:proofErr w:type="spellStart"/>
      <w:r w:rsidRPr="00AF223D">
        <w:rPr>
          <w:sz w:val="22"/>
        </w:rPr>
        <w:t>sodicity</w:t>
      </w:r>
      <w:proofErr w:type="spellEnd"/>
      <w:r w:rsidRPr="00AF223D">
        <w:rPr>
          <w:sz w:val="22"/>
        </w:rPr>
        <w:t>. Both crops have specific edaphic and nutritional requirements, favoring deep, well-drained soils with near-neutral pH conditions to ensure adequate nutrient availability and stable yields</w:t>
      </w:r>
      <w:r w:rsidR="0014150F">
        <w:rPr>
          <w:sz w:val="22"/>
        </w:rPr>
        <w:t xml:space="preserve"> </w:t>
      </w:r>
      <w:r w:rsidR="0014150F">
        <w:rPr>
          <w:sz w:val="22"/>
        </w:rPr>
        <w:fldChar w:fldCharType="begin"/>
      </w:r>
      <w:r w:rsidR="0014150F">
        <w:rPr>
          <w:sz w:val="22"/>
        </w:rPr>
        <w:instrText xml:space="preserve"> ADDIN ZOTERO_ITEM CSL_CITATION {"citationID":"ps6QUXGX","properties":{"unsorted":false,"formattedCitation":"(Gal\\uc0\\u225{}n Sa\\uc0\\u250{}co, 2020; Navamani, 2025)","plainCitation":"(Galán Saúco, 2020; Navamani, 2025)","noteIndex":0},"citationItems":[{"id":552,"uris":["http://zotero.org/users/14068823/items/4NPXINJ4"],"itemData":{"id":552,"type":"webpage","abstract":"NUTRICIÓN Y FERTILIZACIÓN EN EL MANGO: REVISIÓN DE LITERATURA Correo electrónico: vgalan46@gmail - Teléfono: 34- Víctor Galán Saúco.","container-title":"Studocu","language":"es-co","title":"Nutrición y Fertilización del Mango: Revisión de Literatura","title-short":"Nutrición y Fertilización del Mango","URL":"https://www.studocu.com/co/document/universidad-nacional-abierta-y-a-distancia/agricultura-biologica/nutricion-fertilizacion-spn/65279339","author":[{"family":"Galán Saúco","given":"Victor"}],"accessed":{"date-parts":[["2025",12,22]]},"issued":{"date-parts":[["2020"]]}}},{"id":545,"uris":["http://zotero.org/users/14068823/items/5SGB3XVP"],"itemData":{"id":545,"type":"article-journal","abstract":"The research paper titled “The Majesty of Mangoes: A Guide to Introduction of Mango Farm Cultivation\"\noffers a comprehensive overview of the essential principles and practices involved in establishing and managing a\nsuccessful mango orchard. As one of the most cherished tropical fruits, the mango holds immense cultural, economic, and\nnutritional value across the globe. This guide is designed to support new and aspiring mango farmers by introducing key\naspects such as site and variety selection, land preparation, nutrient and water management, pest and disease control, and\nbest practices for sustainable cultivation. Emphasizing traditional wisdom and modern agricultural techniques, the guide\naims to promote informed decision-making, improve productivity, and enhance fruit quality. Whether for commercial\nfarming or integrated agro forestry systems, this resource serves as an entry point to the majestic world of mango\ncultivation.","container-title":"International Journal of Innovative Science and Research Technology","DOI":"10.38124/ijisrt/25may2178","journalAbbreviation":"International Journal of Innovative Science and Research Technology (IJISRT)","language":"en","page":"4549-4552","source":"DOI.org (Crossref)","title":"The Majesty of Mangoes: A Guide to Introduction of Mango Farm Cultivation","title-short":"The Majesty of Mangoes","author":[{"family":"Navamani","given":"C."}],"issued":{"date-parts":[["2025",6,14]]}}}],"schema":"https://github.com/citation-style-language/schema/raw/master/csl-citation.json"} </w:instrText>
      </w:r>
      <w:r w:rsidR="0014150F">
        <w:rPr>
          <w:sz w:val="22"/>
        </w:rPr>
        <w:fldChar w:fldCharType="separate"/>
      </w:r>
      <w:r w:rsidR="0014150F" w:rsidRPr="0014150F">
        <w:rPr>
          <w:rFonts w:cs="Times New Roman"/>
          <w:sz w:val="22"/>
        </w:rPr>
        <w:t>(Galán Saúco, 2020; Navamani, 2025)</w:t>
      </w:r>
      <w:r w:rsidR="0014150F">
        <w:rPr>
          <w:sz w:val="22"/>
        </w:rPr>
        <w:fldChar w:fldCharType="end"/>
      </w:r>
      <w:r w:rsidRPr="00AF223D">
        <w:rPr>
          <w:sz w:val="22"/>
        </w:rPr>
        <w:t xml:space="preserve">. Both crops are sensitive to salinity: banana is particularly intolerant, with critical thresholds for the electrical conductivity of the saturation extract typically below 1 </w:t>
      </w:r>
      <w:proofErr w:type="spellStart"/>
      <w:r w:rsidRPr="00AF223D">
        <w:rPr>
          <w:sz w:val="22"/>
        </w:rPr>
        <w:t>dS</w:t>
      </w:r>
      <w:proofErr w:type="spellEnd"/>
      <w:r w:rsidRPr="00AF223D">
        <w:rPr>
          <w:sz w:val="22"/>
        </w:rPr>
        <w:t xml:space="preserve"> m⁻¹, above which marked reductions in growth and yield are observed</w:t>
      </w:r>
      <w:r w:rsidR="0014150F">
        <w:rPr>
          <w:sz w:val="22"/>
        </w:rPr>
        <w:t xml:space="preserve"> </w:t>
      </w:r>
      <w:r w:rsidR="0014150F">
        <w:rPr>
          <w:sz w:val="22"/>
        </w:rPr>
        <w:fldChar w:fldCharType="begin"/>
      </w:r>
      <w:r w:rsidR="0014150F">
        <w:rPr>
          <w:sz w:val="22"/>
        </w:rPr>
        <w:instrText xml:space="preserve"> ADDIN ZOTERO_ITEM CSL_CITATION {"citationID":"cQf7KWXh","properties":{"unsorted":false,"formattedCitation":"(Almeida et\\uc0\\u160{}al., 2016; Gul et\\uc0\\u160{}al., 2025)","plainCitation":"(Almeida et al., 2016; Gul et al., 2025)","noteIndex":0},"citationItems":[{"id":477,"uris":["http://zotero.org/users/14068823/items/HY5FGRUI"],"itemData":{"id":477,"type":"article-journal","abstract":"This study evaluated the effect of salt stress on the growth of banana seedling colonized with mycorrhizal fungi (AMF) on a substrate from a Quartzipsamment. The experiment was conducted in a greenhouse, using a completely randomized design in split plots; the plots had 5 levels of salinity in irrigation water (0.5, 1.5, 2.5, 3.5 and 4 5 dS m-1) and the subplots of four collection periods (40, 60, 80 and 100 days after transplanting), with 4 repetitions, totaling 80 experimental units. The seedlings of banana cv. \"Prata\" was produced by micropropagation and inoculated with arbuscular mycorrhizal and acclimatization for 40 days. Evaluations were made of leaf gas exchange, shoot dry mass, nutrient content, mycorrhizal root colonization and spore density. Increased levels of salinity caused reduction in dry matter production and photosynthetic rate, which may be associated with osmotic effects of salts in the soil, the increase in sodium and reduced the levels of N in leaves. Salinity reduced root mycorrhizal colonization, but did not influence the density of AMF spores under the conditions of this study.Key words:Musa ssp.; Arbuscular Mycorrhizal Fungi; Salt stress","container-title":"Revista Ciência Agronômica","DOI":"https://doi.org/10.5935/1806-6690.20160051","ISSN":"0045-6888, 1806-6690","journalAbbreviation":"Rev. Ciênc. Agron.","language":"en","page":"421-428","publisher":"Universidade Federal do Ceará","source":"SciELO","title":"Influence of salinity on the development of the banana colonised by arbuscular mycorrhizal fungi","volume":"47","author":[{"family":"Almeida","given":"Aldênia Mendes Mascena","dropping-particle":"de"},{"family":"Gomes","given":"Vânia Felipe Freire"},{"family":"Mendes Filho","given":"Paulo Furtado"},{"family":"Lacerda","given":"Claudivan Feitosa","dropping-particle":"de"},{"family":"Freitas","given":"Emanuel Dias"}],"issued":{"date-parts":[["2016"]]}}},{"id":474,"uris":["http://zotero.org/users/14068823/items/N55FGEQ5"],"itemData":{"id":474,"type":"article-journal","abstract":"Banana is one of the most important cash crops in Sindh, Pakistan; however, its production is increasingly compromised due to declining freshwater availability. Currently, banana is cultivated using conventional flat basin irrigation, which results in low water use efficiency (WUE). Groundwater in the region is predominantly marginal to saline in quality but could potentially supplement limited freshwater resources. Therefore, it is essential to evaluate the conjunctive use of marginal-quality groundwater and canal water to address freshwater shortages without compromising crop yields. In this study, the Dwarf Cavendish banana variety (locally known as Basrai) was cultivated over a four-year period (October 2015–June 2019) on furrows (0.90 m furrow width, 1.20 m bed width, and 0.23 m bed height). Alternate irrigation using canal and marginal groundwater was applied at three levels of available soil moisture depletion (ASMD): 50 %, 40 %, and 30 %. Traditional farmer irrigation practices were also monitored for comparison. At ASMD levels of 50 %, 40 %, and 30 %, annual water applications were 1228 mm, 1403 mm, and 1592 mm, respectively. In contrast, farmers applied 2866 mm of water annually. Irrigation at 50 % ASMD resulted in 12–23 % higher yield and 23–41 % higher WUE compared to 30 % and 40 % ASMD treatments. Compared to the 50 % ASMD treatment, farmer practices produced 24 % lower yield and 67 % lower WUE. Importantly, soil salinity remained within acceptable threshold limits across all treatments. These results suggest that banana can be successfully cultivated on furrows using alternate irrigation with canal and marginal groundwater at 50 % ASMD. This strategy offers substantial water savings while improving yield and WUE, making it a viable and sustainable solution for banana production in water-scarce regions.","container-title":"Agricultural Water Management","DOI":"10.1016/j.agwat.2025.109603","ISSN":"0378-3774","journalAbbreviation":"Agricultural Water Management","page":"109603","source":"ScienceDirect","title":"Effect of alternating canal and marginal groundwater irrigation on banana yield, water use efficiency, and soil salinity under furrow plantation","volume":"317","author":[{"family":"Gul","given":"Nazar"},{"family":"Salam","given":"Hafiz Abdul"},{"family":"Ashraf","given":"Muhammad"},{"family":"Taie Semiromi","given":"Majid"}],"issued":{"date-parts":[["2025",8,1]]}}}],"schema":"https://github.com/citation-style-language/schema/raw/master/csl-citation.json"} </w:instrText>
      </w:r>
      <w:r w:rsidR="0014150F">
        <w:rPr>
          <w:sz w:val="22"/>
        </w:rPr>
        <w:fldChar w:fldCharType="separate"/>
      </w:r>
      <w:r w:rsidR="0014150F" w:rsidRPr="0014150F">
        <w:rPr>
          <w:rFonts w:cs="Times New Roman"/>
          <w:sz w:val="22"/>
        </w:rPr>
        <w:t>(Almeida et al., 2016; Gul et al., 2025)</w:t>
      </w:r>
      <w:r w:rsidR="0014150F">
        <w:rPr>
          <w:sz w:val="22"/>
        </w:rPr>
        <w:fldChar w:fldCharType="end"/>
      </w:r>
      <w:r w:rsidRPr="00AF223D">
        <w:rPr>
          <w:sz w:val="22"/>
        </w:rPr>
        <w:t>. Mango likewise exhibits reduced vegetative development and productivity under elevated soil or irrigation-water salinity. In such contexts, conventional uniform fertilizer application across edaphically heterogeneous fields commonly produces agronomic and environmental inefficiencies: over-fertilized zones are prone to nutrient leaching and contamination, whereas under-fertilized areas limit yield potential and accelerate soil degradation</w:t>
      </w:r>
      <w:r w:rsidR="000D13CD">
        <w:rPr>
          <w:sz w:val="22"/>
        </w:rPr>
        <w:t xml:space="preserve"> </w:t>
      </w:r>
      <w:r w:rsidR="000D13CD">
        <w:rPr>
          <w:sz w:val="22"/>
        </w:rPr>
        <w:fldChar w:fldCharType="begin"/>
      </w:r>
      <w:r w:rsidR="000D13CD">
        <w:rPr>
          <w:sz w:val="22"/>
        </w:rPr>
        <w:instrText xml:space="preserve"> ADDIN ZOTERO_ITEM CSL_CITATION {"citationID":"IosoN0TZ","properties":{"unsorted":false,"formattedCitation":"(Mej\\uc0\\u237{}a Maita et\\uc0\\u160{}al., 2025; Poma-Chamana et\\uc0\\u160{}al., 2025)","plainCitation":"(Mejía Maita et al., 2025; Poma-Chamana et al., 2025)","noteIndex":0},"citationItems":[{"id":690,"uris":["http://zotero.org/users/14068823/items/MASE2GNW"],"itemData":{"id":690,"type":"article-journal","abstract":"Fertilization practices in coffee plantations often overlook the spatial variability of soils, particularly in mountainous regions with acidic conditions. Although geostatistics has been used to map nutrient distributions, its integration with multivariate analysis to identify differentiated fertilization zones in coffee systems remains limited. This study evaluated the influence of soil properties, altitude, and crop age on coffee yield by combining principal component analysis (PCA) and ordinary kriging to design site-specific fertilization strategies. A total of 70 soil samples were collected from three districts of the Peruvian high jungle (San Martín and Amazonas), measuring physical and chemical properties, altitude, and crop age. The following analyses were applied: (1) Spearman correlations to assess associations with yield, (2) PCA to identify fertility gradients, and (3) geostatistical models with cross-validation. The PCA identified two main gradients: PC1 (32.41% of variance) associated with cation exchange capacity (CEC) and organic matter, and PC2 (17.88%) associated with the availability of K and P and crop age. Cross-validation confirmed high accuracy in the spatial prediction of available P and K across the three study areas. Kriging maps revealed zones with high available K (&gt;150 mg kg−1) and P (&gt;20 mg kg−1) associated with yields &gt;1.5 t ha−1. The integration of PCA and geostatistics enabled the delineation of management zones with differentiated nutrient requirements, reducing fertilization needs by up to 30% in areas with high fertility potential (e.g., Alto Saposoa). Overall, the results provide a solid methodological basis for implementing precision fertilization strategies in tropical coffee systems, promoting more efficient nutrient use and greater production sustainability.","container-title":"Frontiers in Soil Science","DOI":"10.3389/fsoil.2025.1701602","ISSN":"2673-8619","journalAbbreviation":"Front. Soil Sci.","language":"English","publisher":"Frontiers","source":"Frontiers","title":"Soil spatial variability in high-yield Peruvian Amazon coffee: a geostatistical approach for precision fertilization","title-short":"Soil spatial variability in high-yield Peruvian Amazon coffee","URL":"https://www.frontiersin.org/journals/soil-science/articles/10.3389/fsoil.2025.1701602/full","volume":"5","author":[{"family":"Mejía Maita","given":"Sharon"},{"family":"Quispe","given":"Kenyi"},{"family":"Díaz-Chuquizuta","given":"Henry"},{"family":"Rengifo Sanchéz","given":"Raihil"},{"family":"Mercado Chinchay","given":"Ruth"},{"family":"Cuevas Gimenez","given":"Juan Pablo"},{"family":"Solórzano","given":"Richard"}],"accessed":{"date-parts":[["2026",9,1]]},"issued":{"date-parts":[["2025",12,18]]}}},{"id":479,"uris":["http://zotero.org/users/14068823/items/S3XSQZ8S"],"itemData":{"id":479,"type":"article-journal","abstract":"Efficient soil fertility management in arid environments requires a clear understanding of the spatial variability of soil properties and their relationship with vegetation vigor. This study presents an integrated geospatial–edaphic framework that combines multivariate analysis and spatial modeling to quantify and map soil fertility in arid agricultural landscapes. We developed soil fertility maps for the Tambo Valley (Arequipa, Peru) by integrating edaphic and geospatial indicators through regression kriging. A total of 491 soil samples were analyzed for 22 physicochemical variables—including macro- and micronutrients, pH, texture, and bulk density—complemented with NDVI and geomorphological factors. Spearman’s correlation analysis showed positive associations between NDVI and the availability of P, Cu, and Co (r = 0.37–0.54), and negative correlations with pH and sand content (r = –0.33 and –0.31). Principal component analysis (PCA) identified fertility gradients driven by phosphorus availability, alkalinity, and micronutrient content (PC1 = 48.6%; PC2 = 11.9%). A weighted soil fertility index (SFIw) derived from the PCA was classified into low (≤0.26), medium (0.27–0.50), and high (&gt;0.50) categories, based on data-driven tertiles of the index distribution. Regression kriging of the SFIw achieved robust spatial prediction (R² = 0.68; RMSE = 0.11), ensuring reliable mapping of fertility patterns. The highest SFIw values were found in Cocachacra and Deán Valdivia districts, linked to fertile fluvial–alluvial soils, whereas Mejía and Mollendo exhibited low indices associated with sandy and alkaline conditions. Based on these spatial patterns, three management zones were delineated: (1) high-fertility areas requiring balanced nutrient replacement, (2) medium-fertility areas needing phosphorus regulation, and (3) low-fertility areas requiring soil amendments and pH correction. The resulting maps revealed that 86.7% of the agricultural area has low or medium fertility, demonstrating the potential of PCA-weighted regression kriging as a scalable tool for precision nutrient management and sustainable intensification in arid regions.","container-title":"Frontiers in Soil Science","DOI":"10.3389/fsoil.2025.1706974","ISSN":"2673-8619","journalAbbreviation":"Front. Soil Sci.","language":"English","publisher":"Frontiers","source":"Frontiers","title":"Estimation and mapping of soil fertility index in arid agricultural environments of the Tambo Valley using regression kriging","URL":"https://www.frontiersin.org/journals/soil-science/articles/10.3389/fsoil.2025.1706974/full","volume":"5","author":[{"family":"Poma-Chamana","given":"Russell"},{"family":"Vilca-Gamarra","given":"Cesar"},{"family":"Hermoza","given":"Nilton"},{"family":"Mercado","given":"Ruth"},{"family":"Mejía","given":"Sharon"},{"family":"Rengifo","given":"Raihil"},{"family":"Quispe","given":"Kenyi"}],"accessed":{"date-parts":[["2025",12,22]]},"issued":{"date-parts":[["2025",12,12]]}}}],"schema":"https://github.com/citation-style-language/schema/raw/master/csl-citation.json"} </w:instrText>
      </w:r>
      <w:r w:rsidR="000D13CD">
        <w:rPr>
          <w:sz w:val="22"/>
        </w:rPr>
        <w:fldChar w:fldCharType="separate"/>
      </w:r>
      <w:r w:rsidR="000D13CD" w:rsidRPr="000D13CD">
        <w:rPr>
          <w:rFonts w:cs="Times New Roman"/>
          <w:sz w:val="22"/>
        </w:rPr>
        <w:t>(Mejía Maita et al., 2025; Poma-Chamana et al., 2025)</w:t>
      </w:r>
      <w:r w:rsidR="000D13CD">
        <w:rPr>
          <w:sz w:val="22"/>
        </w:rPr>
        <w:fldChar w:fldCharType="end"/>
      </w:r>
      <w:r w:rsidRPr="00AF223D">
        <w:rPr>
          <w:sz w:val="22"/>
        </w:rPr>
        <w:t>. Therefore, spatially explicit approaches are required to improve nutrient management and soil amendment strategies.</w:t>
      </w:r>
      <w:r w:rsidR="0012195B" w:rsidRPr="00AF223D">
        <w:rPr>
          <w:sz w:val="22"/>
        </w:rPr>
        <w:t xml:space="preserve"> </w:t>
      </w:r>
    </w:p>
    <w:p w14:paraId="7E40FC5B" w14:textId="4BE08C28" w:rsidR="005D6369" w:rsidRPr="00AF223D" w:rsidRDefault="00567092">
      <w:pPr>
        <w:rPr>
          <w:sz w:val="22"/>
        </w:rPr>
      </w:pPr>
      <w:r w:rsidRPr="00567092">
        <w:rPr>
          <w:sz w:val="22"/>
        </w:rPr>
        <w:t>Accordingly, this study aims to develop a spatial predictive model of soil quality using a weighted soil quality index (</w:t>
      </w:r>
      <w:proofErr w:type="spellStart"/>
      <w:r w:rsidRPr="00567092">
        <w:rPr>
          <w:sz w:val="22"/>
        </w:rPr>
        <w:t>SQIw</w:t>
      </w:r>
      <w:proofErr w:type="spellEnd"/>
      <w:r w:rsidRPr="00567092">
        <w:rPr>
          <w:sz w:val="22"/>
        </w:rPr>
        <w:t>) and a hybrid machine learning–geostatistical approach to identify edaphic constraints and delineate management zones in mango and banana production systems. Specifically, the objectives are to (</w:t>
      </w:r>
      <w:proofErr w:type="spellStart"/>
      <w:r w:rsidRPr="00567092">
        <w:rPr>
          <w:sz w:val="22"/>
        </w:rPr>
        <w:t>i</w:t>
      </w:r>
      <w:proofErr w:type="spellEnd"/>
      <w:r w:rsidRPr="00567092">
        <w:rPr>
          <w:sz w:val="22"/>
        </w:rPr>
        <w:t xml:space="preserve">) construct an </w:t>
      </w:r>
      <w:proofErr w:type="spellStart"/>
      <w:r w:rsidRPr="00567092">
        <w:rPr>
          <w:sz w:val="22"/>
        </w:rPr>
        <w:t>SQIw</w:t>
      </w:r>
      <w:proofErr w:type="spellEnd"/>
      <w:r w:rsidRPr="00567092">
        <w:rPr>
          <w:sz w:val="22"/>
        </w:rPr>
        <w:t xml:space="preserve"> capable of diagnosing the principal edaphic constraints of soils under mango and banana cultivation and (ii) to model the spatial distribution of the </w:t>
      </w:r>
      <w:proofErr w:type="spellStart"/>
      <w:r w:rsidRPr="00567092">
        <w:rPr>
          <w:sz w:val="22"/>
        </w:rPr>
        <w:t>SQIw</w:t>
      </w:r>
      <w:proofErr w:type="spellEnd"/>
      <w:r w:rsidRPr="00567092">
        <w:rPr>
          <w:sz w:val="22"/>
        </w:rPr>
        <w:t xml:space="preserve"> by comparing Ordinary Kriging (OK), Random Forest (RF), and a hybrid Random Forest with residual kriging (RF+RK) framework to capture spatial variability and delineate soil management zones.</w:t>
      </w:r>
    </w:p>
    <w:p w14:paraId="7FE86237" w14:textId="77777777" w:rsidR="003B41E9" w:rsidRPr="00AF223D" w:rsidRDefault="00000000">
      <w:pPr>
        <w:pStyle w:val="Ttulo1"/>
        <w:rPr>
          <w:sz w:val="22"/>
          <w:szCs w:val="22"/>
        </w:rPr>
      </w:pPr>
      <w:bookmarkStart w:id="1" w:name="materials-and-methods"/>
      <w:bookmarkEnd w:id="0"/>
      <w:r w:rsidRPr="00AF223D">
        <w:rPr>
          <w:bCs/>
          <w:sz w:val="22"/>
          <w:szCs w:val="22"/>
        </w:rPr>
        <w:lastRenderedPageBreak/>
        <w:t>MATERIALS AND METHODS</w:t>
      </w:r>
    </w:p>
    <w:p w14:paraId="110CDBC8" w14:textId="77777777" w:rsidR="003B41E9" w:rsidRPr="00AF223D" w:rsidRDefault="00000000">
      <w:pPr>
        <w:pStyle w:val="Ttulo2"/>
        <w:rPr>
          <w:sz w:val="22"/>
          <w:szCs w:val="22"/>
        </w:rPr>
      </w:pPr>
      <w:bookmarkStart w:id="2" w:name="study-area"/>
      <w:r w:rsidRPr="00AF223D">
        <w:rPr>
          <w:sz w:val="22"/>
          <w:szCs w:val="22"/>
        </w:rPr>
        <w:t>Study Area</w:t>
      </w:r>
    </w:p>
    <w:p w14:paraId="35584E9D" w14:textId="77777777" w:rsidR="003B41E9" w:rsidRPr="00AF223D" w:rsidRDefault="00000000">
      <w:pPr>
        <w:rPr>
          <w:sz w:val="22"/>
        </w:rPr>
      </w:pPr>
      <w:r w:rsidRPr="00AF223D">
        <w:rPr>
          <w:sz w:val="22"/>
        </w:rPr>
        <w:t xml:space="preserve">The study was conducted in the province of </w:t>
      </w:r>
      <w:proofErr w:type="spellStart"/>
      <w:r w:rsidRPr="00AF223D">
        <w:rPr>
          <w:sz w:val="22"/>
        </w:rPr>
        <w:t>Morropón</w:t>
      </w:r>
      <w:proofErr w:type="spellEnd"/>
      <w:r w:rsidRPr="00AF223D">
        <w:rPr>
          <w:sz w:val="22"/>
        </w:rPr>
        <w:t xml:space="preserve">, department of Piura, Peru. A total of 1,304 soil samples were collected at a depth of 30 cm (n = 1304) and distributed across the provincial territory to represent the dominant edaphoclimatic units (Figure 1). The area exhibits a warm, markedly arid–semi-arid climate, with a mean annual temperature of 24.73°C and mean annual precipitation of 245.92 mm, resulting in a pronounced seasonal water deficit. According to the climatic classification employed by SENAMHI, </w:t>
      </w:r>
      <w:proofErr w:type="spellStart"/>
      <w:r w:rsidRPr="00AF223D">
        <w:rPr>
          <w:sz w:val="22"/>
        </w:rPr>
        <w:t>Morropón</w:t>
      </w:r>
      <w:proofErr w:type="spellEnd"/>
      <w:r w:rsidRPr="00AF223D">
        <w:rPr>
          <w:sz w:val="22"/>
        </w:rPr>
        <w:t xml:space="preserve"> is predominantly characterized by a warm, arid to very dry climate with scarce and irregular precipitation and high potential evapotranspiration, corresponding primarily to types D(</w:t>
      </w:r>
      <w:proofErr w:type="spellStart"/>
      <w:proofErr w:type="gramStart"/>
      <w:r w:rsidRPr="00AF223D">
        <w:rPr>
          <w:sz w:val="22"/>
        </w:rPr>
        <w:t>i,p</w:t>
      </w:r>
      <w:proofErr w:type="spellEnd"/>
      <w:proofErr w:type="gramEnd"/>
      <w:r w:rsidRPr="00AF223D">
        <w:rPr>
          <w:sz w:val="22"/>
        </w:rPr>
        <w:t>)A′ (68.10%) and E(d)A′ (30.30%). The prevailing life zone is tropical premontane desert scrub, covering 63.65% of the agricultural surface, consistent with observed water limitations and the xerophilous vegetation cover.</w:t>
      </w:r>
    </w:p>
    <w:p w14:paraId="17CCB767" w14:textId="77777777" w:rsidR="003B41E9" w:rsidRPr="00AF223D" w:rsidRDefault="00000000">
      <w:pPr>
        <w:rPr>
          <w:sz w:val="22"/>
        </w:rPr>
      </w:pPr>
      <w:r w:rsidRPr="00AF223D">
        <w:rPr>
          <w:sz w:val="22"/>
        </w:rPr>
        <w:t xml:space="preserve">Soils in </w:t>
      </w:r>
      <w:proofErr w:type="spellStart"/>
      <w:r w:rsidRPr="00AF223D">
        <w:rPr>
          <w:sz w:val="22"/>
        </w:rPr>
        <w:t>Morropón</w:t>
      </w:r>
      <w:proofErr w:type="spellEnd"/>
      <w:r w:rsidRPr="00AF223D">
        <w:rPr>
          <w:sz w:val="22"/>
        </w:rPr>
        <w:t xml:space="preserve"> are dominated by </w:t>
      </w:r>
      <w:proofErr w:type="spellStart"/>
      <w:r w:rsidRPr="00AF223D">
        <w:rPr>
          <w:sz w:val="22"/>
        </w:rPr>
        <w:t>Lixisols</w:t>
      </w:r>
      <w:proofErr w:type="spellEnd"/>
      <w:r w:rsidRPr="00AF223D">
        <w:rPr>
          <w:sz w:val="22"/>
        </w:rPr>
        <w:t xml:space="preserve"> (46.78%); </w:t>
      </w:r>
      <w:proofErr w:type="spellStart"/>
      <w:r w:rsidRPr="00AF223D">
        <w:rPr>
          <w:sz w:val="22"/>
        </w:rPr>
        <w:t>Leptosols</w:t>
      </w:r>
      <w:proofErr w:type="spellEnd"/>
      <w:r w:rsidRPr="00AF223D">
        <w:rPr>
          <w:sz w:val="22"/>
        </w:rPr>
        <w:t xml:space="preserve"> (11.04%) and </w:t>
      </w:r>
      <w:proofErr w:type="spellStart"/>
      <w:r w:rsidRPr="00AF223D">
        <w:rPr>
          <w:sz w:val="22"/>
        </w:rPr>
        <w:t>Fluvisols</w:t>
      </w:r>
      <w:proofErr w:type="spellEnd"/>
      <w:r w:rsidRPr="00AF223D">
        <w:rPr>
          <w:sz w:val="22"/>
        </w:rPr>
        <w:t xml:space="preserve"> (7.06%) occur to a lesser extent. This edaphic pattern—comprising strongly weathered and leached </w:t>
      </w:r>
      <w:proofErr w:type="spellStart"/>
      <w:r w:rsidRPr="00AF223D">
        <w:rPr>
          <w:sz w:val="22"/>
        </w:rPr>
        <w:t>Lixisols</w:t>
      </w:r>
      <w:proofErr w:type="spellEnd"/>
      <w:r w:rsidRPr="00AF223D">
        <w:rPr>
          <w:sz w:val="22"/>
        </w:rPr>
        <w:t xml:space="preserve">, shallow </w:t>
      </w:r>
      <w:proofErr w:type="spellStart"/>
      <w:r w:rsidRPr="00AF223D">
        <w:rPr>
          <w:sz w:val="22"/>
        </w:rPr>
        <w:t>Leptosols</w:t>
      </w:r>
      <w:proofErr w:type="spellEnd"/>
      <w:r w:rsidRPr="00AF223D">
        <w:rPr>
          <w:sz w:val="22"/>
        </w:rPr>
        <w:t xml:space="preserve"> on slopes, and localized alluvial </w:t>
      </w:r>
      <w:proofErr w:type="spellStart"/>
      <w:r w:rsidRPr="00AF223D">
        <w:rPr>
          <w:sz w:val="22"/>
        </w:rPr>
        <w:t>Fluvisols</w:t>
      </w:r>
      <w:proofErr w:type="spellEnd"/>
      <w:r w:rsidRPr="00AF223D">
        <w:rPr>
          <w:sz w:val="22"/>
        </w:rPr>
        <w:t>—together with the predominant agricultural land use (banana 32.67%, mango 30.83%, lemon 10.20% and rice 10.12%) creates a mosaic of anthropogenic pressures and hydric constraints that govern soil-forming processes, nutrient availability and susceptibility to degradation.</w:t>
      </w:r>
    </w:p>
    <w:tbl>
      <w:tblPr>
        <w:tblStyle w:val="Table"/>
        <w:tblW w:w="5000" w:type="pct"/>
        <w:tblLayout w:type="fixed"/>
        <w:tblLook w:val="0000" w:firstRow="0" w:lastRow="0" w:firstColumn="0" w:lastColumn="0" w:noHBand="0" w:noVBand="0"/>
      </w:tblPr>
      <w:tblGrid>
        <w:gridCol w:w="9777"/>
      </w:tblGrid>
      <w:tr w:rsidR="00AF223D" w:rsidRPr="00AF223D" w14:paraId="0DC1FF66" w14:textId="77777777">
        <w:tc>
          <w:tcPr>
            <w:tcW w:w="7920" w:type="dxa"/>
          </w:tcPr>
          <w:p w14:paraId="23A4A025" w14:textId="77777777" w:rsidR="003B41E9" w:rsidRPr="00AF223D" w:rsidRDefault="00000000">
            <w:pPr>
              <w:jc w:val="center"/>
              <w:rPr>
                <w:sz w:val="22"/>
              </w:rPr>
            </w:pPr>
            <w:bookmarkStart w:id="3" w:name="fig-id.5hbpkorf6wua"/>
            <w:r w:rsidRPr="00AF223D">
              <w:rPr>
                <w:noProof/>
                <w:sz w:val="22"/>
              </w:rPr>
              <w:drawing>
                <wp:inline distT="0" distB="0" distL="0" distR="0" wp14:anchorId="10542242" wp14:editId="38621707">
                  <wp:extent cx="5425440" cy="3665220"/>
                  <wp:effectExtent l="0" t="0" r="381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rticle/img_0.jpg"/>
                          <pic:cNvPicPr>
                            <a:picLocks noChangeAspect="1" noChangeArrowheads="1"/>
                          </pic:cNvPicPr>
                        </pic:nvPicPr>
                        <pic:blipFill>
                          <a:blip r:embed="rId9"/>
                          <a:stretch>
                            <a:fillRect/>
                          </a:stretch>
                        </pic:blipFill>
                        <pic:spPr bwMode="auto">
                          <a:xfrm>
                            <a:off x="0" y="0"/>
                            <a:ext cx="5425939" cy="3665557"/>
                          </a:xfrm>
                          <a:prstGeom prst="rect">
                            <a:avLst/>
                          </a:prstGeom>
                          <a:noFill/>
                          <a:ln w="9525">
                            <a:noFill/>
                            <a:headEnd/>
                            <a:tailEnd/>
                          </a:ln>
                        </pic:spPr>
                      </pic:pic>
                    </a:graphicData>
                  </a:graphic>
                </wp:inline>
              </w:drawing>
            </w:r>
          </w:p>
          <w:p w14:paraId="7DA067FB" w14:textId="77777777" w:rsidR="003B41E9" w:rsidRPr="00AF223D" w:rsidRDefault="00000000">
            <w:pPr>
              <w:spacing w:before="200"/>
              <w:jc w:val="left"/>
              <w:rPr>
                <w:sz w:val="22"/>
              </w:rPr>
            </w:pPr>
            <w:r w:rsidRPr="00AF223D">
              <w:rPr>
                <w:sz w:val="22"/>
              </w:rPr>
              <w:t xml:space="preserve">Figure 1: </w:t>
            </w:r>
            <w:r w:rsidRPr="00AF223D">
              <w:rPr>
                <w:i/>
                <w:iCs/>
                <w:sz w:val="22"/>
              </w:rPr>
              <w:t xml:space="preserve">Location map with 1304 sampling points in </w:t>
            </w:r>
            <w:proofErr w:type="spellStart"/>
            <w:r w:rsidRPr="00AF223D">
              <w:rPr>
                <w:i/>
                <w:iCs/>
                <w:sz w:val="22"/>
              </w:rPr>
              <w:t>Morropón</w:t>
            </w:r>
            <w:proofErr w:type="spellEnd"/>
            <w:r w:rsidRPr="00AF223D">
              <w:rPr>
                <w:i/>
                <w:iCs/>
                <w:sz w:val="22"/>
              </w:rPr>
              <w:t xml:space="preserve"> Province.</w:t>
            </w:r>
          </w:p>
        </w:tc>
        <w:bookmarkEnd w:id="3"/>
      </w:tr>
    </w:tbl>
    <w:p w14:paraId="666F9F3B" w14:textId="77777777" w:rsidR="003B41E9" w:rsidRPr="00AF223D" w:rsidRDefault="00000000">
      <w:pPr>
        <w:pStyle w:val="Ttulo2"/>
        <w:rPr>
          <w:sz w:val="22"/>
          <w:szCs w:val="22"/>
        </w:rPr>
      </w:pPr>
      <w:bookmarkStart w:id="4" w:name="soil-sampling"/>
      <w:bookmarkEnd w:id="2"/>
      <w:r w:rsidRPr="00AF223D">
        <w:rPr>
          <w:sz w:val="22"/>
          <w:szCs w:val="22"/>
        </w:rPr>
        <w:lastRenderedPageBreak/>
        <w:t>Soil Sampling</w:t>
      </w:r>
    </w:p>
    <w:p w14:paraId="633C7698" w14:textId="41381A77" w:rsidR="003B41E9" w:rsidRPr="00AF223D" w:rsidRDefault="00000000">
      <w:pPr>
        <w:rPr>
          <w:sz w:val="22"/>
        </w:rPr>
      </w:pPr>
      <w:r w:rsidRPr="00AF223D">
        <w:rPr>
          <w:sz w:val="22"/>
        </w:rPr>
        <w:t>Soil sampling was conducted following the procedure described by</w:t>
      </w:r>
      <w:r w:rsidR="00FF6A9C">
        <w:rPr>
          <w:sz w:val="22"/>
        </w:rPr>
        <w:t xml:space="preserve"> </w:t>
      </w:r>
      <w:r w:rsidR="00FF6A9C">
        <w:rPr>
          <w:sz w:val="22"/>
        </w:rPr>
        <w:fldChar w:fldCharType="begin"/>
      </w:r>
      <w:r w:rsidR="00FF6A9C">
        <w:rPr>
          <w:sz w:val="22"/>
        </w:rPr>
        <w:instrText xml:space="preserve"> ADDIN ZOTERO_ITEM CSL_CITATION {"citationID":"L38Etwy4","properties":{"unsorted":false,"formattedCitation":"(Havlin et\\uc0\\u160{}al., 2016)","plainCitation":"(Havlin et al., 2016)","noteIndex":0},"citationItems":[{"id":525,"uris":["http://zotero.org/users/14068823/items/LZM4ARCG"],"itemData":{"id":525,"type":"book","abstract":"Soil Fertility and Fertilizers: An Introduction to Nutrient Management, provides a thorough understanding of the biological, chemical, and physical properties affecting soil fertility and plant nutrition. Covering all aspects of nutrient management for profitable crop production, the text pays particular attention to minimizing the environmental impact of soil and fertilizer management. The eighth edition of this proven text has been substantially revised to reflect rapidly advancing knowledge and technologies in both plant nutrition and nutrient management.","language":"auto","number-of-pages":"524","source":"bibliotecadigital.ciren.cl","title":"Soil Fertility and Fertilizers: an introduction to nutrient management.","title-short":"Soil Fertility and Fertilizers","URL":"https://bibliotecadigital.ciren.cl/items/154b5b7e-ad37-4b0a-a090-f194393cced1/full","author":[{"family":"Havlin","given":"John L."},{"family":"Tisdale","given":"Samuel L."},{"family":"Nelson","given":"Werner L."},{"family":"Beaton","given":"James D."}],"accessed":{"date-parts":[["2025",12,22]]},"issued":{"date-parts":[["2016"]]}}}],"schema":"https://github.com/citation-style-language/schema/raw/master/csl-citation.json"} </w:instrText>
      </w:r>
      <w:r w:rsidR="00FF6A9C">
        <w:rPr>
          <w:sz w:val="22"/>
        </w:rPr>
        <w:fldChar w:fldCharType="separate"/>
      </w:r>
      <w:r w:rsidR="00FF6A9C" w:rsidRPr="00FF6A9C">
        <w:rPr>
          <w:rFonts w:cs="Times New Roman"/>
          <w:sz w:val="22"/>
        </w:rPr>
        <w:t xml:space="preserve">Havlin et al. </w:t>
      </w:r>
      <w:r w:rsidR="00FF6A9C">
        <w:rPr>
          <w:rFonts w:cs="Times New Roman"/>
          <w:sz w:val="22"/>
        </w:rPr>
        <w:t>(</w:t>
      </w:r>
      <w:r w:rsidR="00FF6A9C" w:rsidRPr="00FF6A9C">
        <w:rPr>
          <w:rFonts w:cs="Times New Roman"/>
          <w:sz w:val="22"/>
        </w:rPr>
        <w:t>2016)</w:t>
      </w:r>
      <w:r w:rsidR="00FF6A9C">
        <w:rPr>
          <w:sz w:val="22"/>
        </w:rPr>
        <w:fldChar w:fldCharType="end"/>
      </w:r>
      <w:r w:rsidRPr="00AF223D">
        <w:rPr>
          <w:sz w:val="22"/>
        </w:rPr>
        <w:t>.</w:t>
      </w:r>
      <w:r w:rsidR="00593B1C" w:rsidRPr="00AF223D">
        <w:rPr>
          <w:sz w:val="22"/>
        </w:rPr>
        <w:t xml:space="preserve"> Sampling was carried out during the 2024–2025 agricultural season, and</w:t>
      </w:r>
      <w:r w:rsidRPr="00AF223D">
        <w:rPr>
          <w:sz w:val="22"/>
        </w:rPr>
        <w:t xml:space="preserve"> </w:t>
      </w:r>
      <w:r w:rsidR="00593B1C" w:rsidRPr="00AF223D">
        <w:rPr>
          <w:sz w:val="22"/>
        </w:rPr>
        <w:t>e</w:t>
      </w:r>
      <w:r w:rsidRPr="00AF223D">
        <w:rPr>
          <w:sz w:val="22"/>
        </w:rPr>
        <w:t xml:space="preserve">ach sample corresponded to a homogeneous management unit, delineated based on slope, soil texture and color, and limited to a maximum area of 3 ha. Within each unit, ten subsamples were randomly collected from the 0–30 cm soil layer and subsequently composited to obtain a single representative sample. In total, 1304 composite soil samples were collected from mango and banana fields in </w:t>
      </w:r>
      <w:proofErr w:type="spellStart"/>
      <w:r w:rsidRPr="00AF223D">
        <w:rPr>
          <w:sz w:val="22"/>
        </w:rPr>
        <w:t>Morropon</w:t>
      </w:r>
      <w:proofErr w:type="spellEnd"/>
      <w:r w:rsidRPr="00AF223D">
        <w:rPr>
          <w:sz w:val="22"/>
        </w:rPr>
        <w:t xml:space="preserve"> Province, Piura region (</w:t>
      </w:r>
      <w:hyperlink r:id="rId10" w:anchor="bookmark=id.5hbpkorf6wua">
        <w:r w:rsidR="003B41E9" w:rsidRPr="00AF223D">
          <w:rPr>
            <w:rStyle w:val="Hipervnculo"/>
            <w:color w:val="auto"/>
            <w:sz w:val="22"/>
          </w:rPr>
          <w:t>Figure 1</w:t>
        </w:r>
      </w:hyperlink>
      <w:r w:rsidRPr="00AF223D">
        <w:rPr>
          <w:sz w:val="22"/>
        </w:rPr>
        <w:t>).</w:t>
      </w:r>
    </w:p>
    <w:p w14:paraId="219E8F18" w14:textId="77777777" w:rsidR="003B41E9" w:rsidRPr="00AF223D" w:rsidRDefault="00000000">
      <w:pPr>
        <w:pStyle w:val="Ttulo2"/>
        <w:rPr>
          <w:sz w:val="22"/>
          <w:szCs w:val="22"/>
        </w:rPr>
      </w:pPr>
      <w:bookmarkStart w:id="5" w:name="soil-analysis"/>
      <w:bookmarkEnd w:id="4"/>
      <w:r w:rsidRPr="00AF223D">
        <w:rPr>
          <w:sz w:val="22"/>
          <w:szCs w:val="22"/>
        </w:rPr>
        <w:t>Soil analysis</w:t>
      </w:r>
    </w:p>
    <w:p w14:paraId="5AE45872" w14:textId="62C4C193" w:rsidR="003B41E9" w:rsidRPr="00AF223D" w:rsidRDefault="00000000">
      <w:pPr>
        <w:rPr>
          <w:sz w:val="22"/>
        </w:rPr>
      </w:pPr>
      <w:r w:rsidRPr="00AF223D">
        <w:rPr>
          <w:sz w:val="22"/>
        </w:rPr>
        <w:t>Soil samples were analyzed at the Network of Soil, Water and Foliar Laboratories of the National Institute of Agrarian Innovation (LABSAF-INIA). Samples were pretreated, air-dried at &lt; 40 °C and sieved to &lt; 2 mm</w:t>
      </w:r>
      <w:r w:rsidR="00747D8B">
        <w:rPr>
          <w:sz w:val="22"/>
        </w:rPr>
        <w:t xml:space="preserve"> </w:t>
      </w:r>
      <w:r w:rsidR="00747D8B">
        <w:rPr>
          <w:sz w:val="22"/>
        </w:rPr>
        <w:fldChar w:fldCharType="begin"/>
      </w:r>
      <w:r w:rsidR="00747D8B">
        <w:rPr>
          <w:sz w:val="22"/>
        </w:rPr>
        <w:instrText xml:space="preserve"> ADDIN ZOTERO_ITEM CSL_CITATION {"citationID":"NsOQslyW","properties":{"unsorted":false,"formattedCitation":"(International Organization for Standardization, 2006)","plainCitation":"(International Organization for Standardization, 2006)","noteIndex":0},"citationItems":[{"id":529,"uris":["http://zotero.org/users/14068823/items/FDLKIWTQ"],"itemData":{"id":529,"type":"document","abstract":"Soil quality — Pretreatment of samples for physico-chemical analysis","language":"en","publisher":"International Organization for Standardization","title":"Soil quality—Pretreatment of samples for physico-chemical analysis","title-short":"ISO Standard No. 11464","URL":"https://www.iso.org/standard/37718.html","author":[{"family":"International Organization for Standardization","given":""}],"accessed":{"date-parts":[["2025",12,22]]},"issued":{"date-parts":[["2006"]]}}}],"schema":"https://github.com/citation-style-language/schema/raw/master/csl-citation.json"} </w:instrText>
      </w:r>
      <w:r w:rsidR="00747D8B">
        <w:rPr>
          <w:sz w:val="22"/>
        </w:rPr>
        <w:fldChar w:fldCharType="separate"/>
      </w:r>
      <w:r w:rsidR="00747D8B" w:rsidRPr="00747D8B">
        <w:rPr>
          <w:rFonts w:cs="Times New Roman"/>
          <w:sz w:val="22"/>
        </w:rPr>
        <w:t>(International Organization for Standardization, 2006)</w:t>
      </w:r>
      <w:r w:rsidR="00747D8B">
        <w:rPr>
          <w:sz w:val="22"/>
        </w:rPr>
        <w:fldChar w:fldCharType="end"/>
      </w:r>
      <w:r w:rsidRPr="00AF223D">
        <w:rPr>
          <w:sz w:val="22"/>
        </w:rPr>
        <w:t xml:space="preserve">. Soil texture was determined by the </w:t>
      </w:r>
      <w:proofErr w:type="spellStart"/>
      <w:r w:rsidRPr="00AF223D">
        <w:rPr>
          <w:sz w:val="22"/>
        </w:rPr>
        <w:t>Bouyoucos</w:t>
      </w:r>
      <w:proofErr w:type="spellEnd"/>
      <w:r w:rsidRPr="00AF223D">
        <w:rPr>
          <w:sz w:val="22"/>
        </w:rPr>
        <w:t xml:space="preserve"> hydrometer method</w:t>
      </w:r>
      <w:r w:rsidR="00747D8B">
        <w:rPr>
          <w:sz w:val="22"/>
        </w:rPr>
        <w:t xml:space="preserve"> </w:t>
      </w:r>
      <w:r w:rsidR="00747D8B">
        <w:rPr>
          <w:sz w:val="22"/>
        </w:rPr>
        <w:fldChar w:fldCharType="begin"/>
      </w:r>
      <w:r w:rsidR="00747D8B">
        <w:rPr>
          <w:sz w:val="22"/>
        </w:rPr>
        <w:instrText xml:space="preserve"> ADDIN ZOTERO_ITEM CSL_CITATION {"citationID":"OJZ23ywl","properties":{"unsorted":false,"formattedCitation":"(Secretar\\uc0\\u237{}a de Medio Ambiente y Recursos Naturales (SEMARNAT), 2002)","plainCitation":"(Secretaría de Medio Ambiente y Recursos Naturales (SEMARNAT), 2002)","noteIndex":0},"citationItems":[{"id":402,"uris":["http://zotero.org/users/14068823/items/YAF9RHRE"],"itemData":{"id":402,"type":"book","edition":"Official Gazette of the Federation","language":"es","number-of-pages":"73","publisher-place":"Mexico City, Mexico.","source":"Zotero","title":"Official Mexican Standard NOM-021-RECNAT-2000. Establishing specifications for soil fertility, salinity and classification. Studies, sampling and analysis","URL":"https://www.ordenjuridico.gob.mx/Documentos/Federal/wo69255.pdf","author":[{"family":"Secretaría de Medio Ambiente y Recursos Naturales (SEMARNAT)","given":""}],"issued":{"date-parts":[["2002"]]}}}],"schema":"https://github.com/citation-style-language/schema/raw/master/csl-citation.json"} </w:instrText>
      </w:r>
      <w:r w:rsidR="00747D8B">
        <w:rPr>
          <w:sz w:val="22"/>
        </w:rPr>
        <w:fldChar w:fldCharType="separate"/>
      </w:r>
      <w:r w:rsidR="00747D8B" w:rsidRPr="00747D8B">
        <w:rPr>
          <w:rFonts w:cs="Times New Roman"/>
          <w:sz w:val="22"/>
        </w:rPr>
        <w:t>(</w:t>
      </w:r>
      <w:proofErr w:type="spellStart"/>
      <w:r w:rsidR="00747D8B" w:rsidRPr="00747D8B">
        <w:rPr>
          <w:rFonts w:cs="Times New Roman"/>
          <w:sz w:val="22"/>
        </w:rPr>
        <w:t>Secretaría</w:t>
      </w:r>
      <w:proofErr w:type="spellEnd"/>
      <w:r w:rsidR="00747D8B" w:rsidRPr="00747D8B">
        <w:rPr>
          <w:rFonts w:cs="Times New Roman"/>
          <w:sz w:val="22"/>
        </w:rPr>
        <w:t xml:space="preserve"> de Medio Ambiente y Recursos Naturales (SEMARNAT), 2002)</w:t>
      </w:r>
      <w:r w:rsidR="00747D8B">
        <w:rPr>
          <w:sz w:val="22"/>
        </w:rPr>
        <w:fldChar w:fldCharType="end"/>
      </w:r>
      <w:r w:rsidRPr="00AF223D">
        <w:rPr>
          <w:sz w:val="22"/>
        </w:rPr>
        <w:t>. Soil pH was measured following the standardized EPA 9045D method</w:t>
      </w:r>
      <w:r w:rsidR="00747D8B">
        <w:rPr>
          <w:sz w:val="22"/>
        </w:rPr>
        <w:t xml:space="preserve"> </w:t>
      </w:r>
      <w:r w:rsidR="00747D8B">
        <w:rPr>
          <w:sz w:val="22"/>
        </w:rPr>
        <w:fldChar w:fldCharType="begin"/>
      </w:r>
      <w:r w:rsidR="00747D8B">
        <w:rPr>
          <w:sz w:val="22"/>
        </w:rPr>
        <w:instrText xml:space="preserve"> ADDIN ZOTERO_ITEM CSL_CITATION {"citationID":"JTCMxSKL","properties":{"unsorted":false,"formattedCitation":"(U.S. Environmental Protection Agency, 2015)","plainCitation":"(U.S. Environmental Protection Agency, 2015)","noteIndex":0},"citationItems":[{"id":531,"uris":["http://zotero.org/users/14068823/items/3KLCNAV7"],"itemData":{"id":531,"type":"webpage","abstract":"electrometric procedure for measuring pH in soils and waste samples, including solids, sludges, or non-aqueous liquids","genre":"Other Policies and Guidance","language":"en","title":"SW-846 Test Method 9045D: Soil and Waste pH","title-short":"SW-846 Test Method 9045D","URL":"https://www.epa.gov/hw-sw846/sw-846-test-method-9045d-soil-and-waste-ph","author":[{"family":"U.S. Environmental Protection Agency","given":""}],"accessed":{"date-parts":[["2025",12,22]]},"issued":{"date-parts":[["2015",12,8]]}}}],"schema":"https://github.com/citation-style-language/schema/raw/master/csl-citation.json"} </w:instrText>
      </w:r>
      <w:r w:rsidR="00747D8B">
        <w:rPr>
          <w:sz w:val="22"/>
        </w:rPr>
        <w:fldChar w:fldCharType="separate"/>
      </w:r>
      <w:r w:rsidR="00747D8B" w:rsidRPr="00747D8B">
        <w:rPr>
          <w:rFonts w:cs="Times New Roman"/>
          <w:sz w:val="22"/>
        </w:rPr>
        <w:t>(U.S. Environmental Protection Agency, 2015)</w:t>
      </w:r>
      <w:r w:rsidR="00747D8B">
        <w:rPr>
          <w:sz w:val="22"/>
        </w:rPr>
        <w:fldChar w:fldCharType="end"/>
      </w:r>
      <w:r w:rsidRPr="00AF223D">
        <w:rPr>
          <w:sz w:val="22"/>
        </w:rPr>
        <w:t>. Electrical conductivity (EC) was measured according to ISO 11265:1994/Cor.1:1996. To convert EC measured in diluted soil–water extracts to the electrical conductivity of the saturated paste extract (ECₑ), we followed the procedure proposed by</w:t>
      </w:r>
      <w:r w:rsidR="00747D8B">
        <w:rPr>
          <w:sz w:val="22"/>
        </w:rPr>
        <w:t xml:space="preserve"> </w:t>
      </w:r>
      <w:r w:rsidR="00747D8B">
        <w:rPr>
          <w:sz w:val="22"/>
        </w:rPr>
        <w:fldChar w:fldCharType="begin"/>
      </w:r>
      <w:r w:rsidR="00747D8B">
        <w:rPr>
          <w:sz w:val="22"/>
        </w:rPr>
        <w:instrText xml:space="preserve"> ADDIN ZOTERO_ITEM CSL_CITATION {"citationID":"SKiMg3Aq","properties":{"unsorted":false,"formattedCitation":"(Kargas et\\uc0\\u160{}al., 2022)","plainCitation":"(Kargas et al., 2022)","noteIndex":0},"citationItems":[{"id":533,"uris":["http://zotero.org/users/14068823/items/PVQVBWLF"],"itemData":{"id":533,"type":"article-journal","abstract":"The electrical conductivity of soil saturated paste extract (ECe) is used as an indicator for estimating soil salinity. This method is time consuming and laborious and therefore, easier and faster methods are usually used with different soil/water ratios, such as 1:5 (EC1:5), for estimating the ECe. Usually, the relationship between ECe and EC1:5 is described by a simple linear empirical equation. The value of the conversion factor (CF) of EC1:5 to ECe is affected by the particular characteristics of the soil, such as its texture. The objective of this study is to investigate models that allow the inclusion of soil texture in the calculation of the CF, in order to improve the prediction of the ECe. A total of 148 soil samples with different soil texture and salinity levels were selected from three regions of Greece, and ECe, EC1:5, as well as clay and sand contents were determined. The results show that the CF can be estimated from an equation which incorporates the clay and sand contents through the soil saturation percentage (SP) and can give a fairly good prediction of ECe from EC1:5 (R2 = 0.9887 and RMSE = 1.39 dSm−1).","container-title":"Water","DOI":"10.3390/w14040642","ISSN":"2073-4441","issue":"4","language":"en","license":"http://creativecommons.org/licenses/by/3.0/","page":"642","publisher":"Multidisciplinary Digital Publishing Institute","source":"www.mdpi.com","title":"The Effect of Soil Texture on the Conversion Factor of 1:5 Soil/Water Extract Electrical Conductivity (EC1:5) to Soil Saturated Paste Extract Electrical Conductivity (ECe)","title-short":"The Effect of Soil Texture on the Conversion Factor of 1","volume":"14","author":[{"family":"Kargas","given":"George"},{"family":"Londra","given":"Paraskevi"},{"family":"Sotirakoglou","given":"Kyriaki"}],"issued":{"date-parts":[["2022",1]]}}}],"schema":"https://github.com/citation-style-language/schema/raw/master/csl-citation.json"} </w:instrText>
      </w:r>
      <w:r w:rsidR="00747D8B">
        <w:rPr>
          <w:sz w:val="22"/>
        </w:rPr>
        <w:fldChar w:fldCharType="separate"/>
      </w:r>
      <w:r w:rsidR="00747D8B" w:rsidRPr="00747D8B">
        <w:rPr>
          <w:rFonts w:cs="Times New Roman"/>
          <w:sz w:val="22"/>
        </w:rPr>
        <w:t xml:space="preserve">Kargas et al. </w:t>
      </w:r>
      <w:r w:rsidR="00747D8B">
        <w:rPr>
          <w:rFonts w:cs="Times New Roman"/>
          <w:sz w:val="22"/>
        </w:rPr>
        <w:t>(</w:t>
      </w:r>
      <w:r w:rsidR="00747D8B" w:rsidRPr="00747D8B">
        <w:rPr>
          <w:rFonts w:cs="Times New Roman"/>
          <w:sz w:val="22"/>
        </w:rPr>
        <w:t>2022)</w:t>
      </w:r>
      <w:r w:rsidR="00747D8B">
        <w:rPr>
          <w:sz w:val="22"/>
        </w:rPr>
        <w:fldChar w:fldCharType="end"/>
      </w:r>
      <w:r w:rsidRPr="00AF223D">
        <w:rPr>
          <w:sz w:val="22"/>
        </w:rPr>
        <w:t>:</w:t>
      </w:r>
    </w:p>
    <w:p w14:paraId="0521E742" w14:textId="77777777" w:rsidR="003B41E9" w:rsidRPr="00AF223D" w:rsidRDefault="00000000">
      <w:pPr>
        <w:rPr>
          <w:sz w:val="22"/>
        </w:rPr>
      </w:pPr>
      <m:oMathPara>
        <m:oMath>
          <m:r>
            <w:rPr>
              <w:rFonts w:ascii="Cambria Math" w:hAnsi="Cambria Math"/>
              <w:sz w:val="22"/>
            </w:rPr>
            <m:t>E</m:t>
          </m:r>
          <m:sSub>
            <m:sSubPr>
              <m:ctrlPr>
                <w:rPr>
                  <w:rFonts w:ascii="Cambria Math" w:hAnsi="Cambria Math"/>
                  <w:sz w:val="22"/>
                </w:rPr>
              </m:ctrlPr>
            </m:sSubPr>
            <m:e>
              <m:r>
                <w:rPr>
                  <w:rFonts w:ascii="Cambria Math" w:hAnsi="Cambria Math"/>
                  <w:sz w:val="22"/>
                </w:rPr>
                <m:t>C</m:t>
              </m:r>
            </m:e>
            <m:sub>
              <m:r>
                <w:rPr>
                  <w:rFonts w:ascii="Cambria Math" w:hAnsi="Cambria Math"/>
                  <w:sz w:val="22"/>
                </w:rPr>
                <m:t>e</m:t>
              </m:r>
            </m:sub>
          </m:sSub>
          <m:r>
            <m:rPr>
              <m:sty m:val="p"/>
            </m:rPr>
            <w:rPr>
              <w:rFonts w:ascii="Cambria Math" w:hAnsi="Cambria Math"/>
              <w:sz w:val="22"/>
            </w:rPr>
            <m:t>=</m:t>
          </m:r>
          <m:d>
            <m:dPr>
              <m:ctrlPr>
                <w:rPr>
                  <w:rFonts w:ascii="Cambria Math" w:hAnsi="Cambria Math"/>
                  <w:sz w:val="22"/>
                </w:rPr>
              </m:ctrlPr>
            </m:dPr>
            <m:e>
              <m:r>
                <w:rPr>
                  <w:rFonts w:ascii="Cambria Math" w:hAnsi="Cambria Math"/>
                  <w:sz w:val="22"/>
                </w:rPr>
                <m:t>1.054</m:t>
              </m:r>
              <m:r>
                <m:rPr>
                  <m:sty m:val="p"/>
                </m:rPr>
                <w:rPr>
                  <w:rFonts w:ascii="Cambria Math" w:hAnsi="Cambria Math"/>
                  <w:sz w:val="22"/>
                </w:rPr>
                <m:t>+</m:t>
              </m:r>
              <m:f>
                <m:fPr>
                  <m:ctrlPr>
                    <w:rPr>
                      <w:rFonts w:ascii="Cambria Math" w:hAnsi="Cambria Math"/>
                      <w:sz w:val="22"/>
                    </w:rPr>
                  </m:ctrlPr>
                </m:fPr>
                <m:num>
                  <m:r>
                    <w:rPr>
                      <w:rFonts w:ascii="Cambria Math" w:hAnsi="Cambria Math"/>
                      <w:sz w:val="22"/>
                    </w:rPr>
                    <m:t>283.4</m:t>
                  </m:r>
                </m:num>
                <m:den>
                  <m:r>
                    <w:rPr>
                      <w:rFonts w:ascii="Cambria Math" w:hAnsi="Cambria Math"/>
                      <w:sz w:val="22"/>
                    </w:rPr>
                    <m:t>49.699</m:t>
                  </m:r>
                  <m:r>
                    <m:rPr>
                      <m:sty m:val="p"/>
                    </m:rPr>
                    <w:rPr>
                      <w:rFonts w:ascii="Cambria Math" w:hAnsi="Cambria Math"/>
                      <w:sz w:val="22"/>
                    </w:rPr>
                    <m:t>+</m:t>
                  </m:r>
                  <m:r>
                    <w:rPr>
                      <w:rFonts w:ascii="Cambria Math" w:hAnsi="Cambria Math"/>
                      <w:sz w:val="22"/>
                    </w:rPr>
                    <m:t>0.524</m:t>
                  </m:r>
                  <m:r>
                    <m:rPr>
                      <m:sty m:val="p"/>
                    </m:rPr>
                    <w:rPr>
                      <w:rFonts w:ascii="Cambria Math" w:hAnsi="Cambria Math"/>
                      <w:sz w:val="22"/>
                    </w:rPr>
                    <m:t>×</m:t>
                  </m:r>
                  <m:r>
                    <w:rPr>
                      <w:rFonts w:ascii="Cambria Math" w:hAnsi="Cambria Math"/>
                      <w:sz w:val="22"/>
                    </w:rPr>
                    <m:t>Clay</m:t>
                  </m:r>
                  <m:r>
                    <m:rPr>
                      <m:sty m:val="p"/>
                    </m:rPr>
                    <w:rPr>
                      <w:rFonts w:ascii="Cambria Math" w:hAnsi="Cambria Math"/>
                      <w:sz w:val="22"/>
                    </w:rPr>
                    <m:t>%-</m:t>
                  </m:r>
                  <m:r>
                    <w:rPr>
                      <w:rFonts w:ascii="Cambria Math" w:hAnsi="Cambria Math"/>
                      <w:sz w:val="22"/>
                    </w:rPr>
                    <m:t>0.339</m:t>
                  </m:r>
                  <m:r>
                    <m:rPr>
                      <m:sty m:val="p"/>
                    </m:rPr>
                    <w:rPr>
                      <w:rFonts w:ascii="Cambria Math" w:hAnsi="Cambria Math"/>
                      <w:sz w:val="22"/>
                    </w:rPr>
                    <m:t>×</m:t>
                  </m:r>
                  <m:r>
                    <w:rPr>
                      <w:rFonts w:ascii="Cambria Math" w:hAnsi="Cambria Math"/>
                      <w:sz w:val="22"/>
                    </w:rPr>
                    <m:t>Sand</m:t>
                  </m:r>
                  <m:r>
                    <m:rPr>
                      <m:sty m:val="p"/>
                    </m:rPr>
                    <w:rPr>
                      <w:rFonts w:ascii="Cambria Math" w:hAnsi="Cambria Math"/>
                      <w:sz w:val="22"/>
                    </w:rPr>
                    <m:t>%</m:t>
                  </m:r>
                </m:den>
              </m:f>
            </m:e>
          </m:d>
          <m:r>
            <m:rPr>
              <m:sty m:val="p"/>
            </m:rPr>
            <w:rPr>
              <w:rFonts w:ascii="Cambria Math" w:hAnsi="Cambria Math"/>
              <w:sz w:val="22"/>
            </w:rPr>
            <m:t>×</m:t>
          </m:r>
          <m:r>
            <w:rPr>
              <w:rFonts w:ascii="Cambria Math" w:hAnsi="Cambria Math"/>
              <w:sz w:val="22"/>
            </w:rPr>
            <m:t>E</m:t>
          </m:r>
          <m:sSub>
            <m:sSubPr>
              <m:ctrlPr>
                <w:rPr>
                  <w:rFonts w:ascii="Cambria Math" w:hAnsi="Cambria Math"/>
                  <w:sz w:val="22"/>
                </w:rPr>
              </m:ctrlPr>
            </m:sSubPr>
            <m:e>
              <m:r>
                <w:rPr>
                  <w:rFonts w:ascii="Cambria Math" w:hAnsi="Cambria Math"/>
                  <w:sz w:val="22"/>
                </w:rPr>
                <m:t>C</m:t>
              </m:r>
            </m:e>
            <m:sub>
              <m:r>
                <w:rPr>
                  <w:rFonts w:ascii="Cambria Math" w:hAnsi="Cambria Math"/>
                  <w:sz w:val="22"/>
                </w:rPr>
                <m:t>1</m:t>
              </m:r>
              <m:r>
                <m:rPr>
                  <m:sty m:val="p"/>
                </m:rPr>
                <w:rPr>
                  <w:rFonts w:ascii="Cambria Math" w:hAnsi="Cambria Math"/>
                  <w:sz w:val="22"/>
                </w:rPr>
                <m:t>:</m:t>
              </m:r>
              <m:r>
                <w:rPr>
                  <w:rFonts w:ascii="Cambria Math" w:hAnsi="Cambria Math"/>
                  <w:sz w:val="22"/>
                </w:rPr>
                <m:t>5</m:t>
              </m:r>
            </m:sub>
          </m:sSub>
        </m:oMath>
      </m:oMathPara>
    </w:p>
    <w:p w14:paraId="00B17A4A" w14:textId="368F16E8" w:rsidR="003B41E9" w:rsidRPr="00AF223D" w:rsidRDefault="00000000">
      <w:pPr>
        <w:rPr>
          <w:sz w:val="22"/>
        </w:rPr>
      </w:pPr>
      <w:r w:rsidRPr="00AF223D">
        <w:rPr>
          <w:sz w:val="22"/>
        </w:rPr>
        <w:t>Soil organic matter was estimated by the Walkley–Black method</w:t>
      </w:r>
      <w:r w:rsidR="00747D8B">
        <w:rPr>
          <w:sz w:val="22"/>
        </w:rPr>
        <w:t xml:space="preserve"> </w:t>
      </w:r>
      <w:r w:rsidR="00747D8B">
        <w:rPr>
          <w:sz w:val="22"/>
        </w:rPr>
        <w:fldChar w:fldCharType="begin"/>
      </w:r>
      <w:r w:rsidR="00747D8B">
        <w:rPr>
          <w:sz w:val="22"/>
        </w:rPr>
        <w:instrText xml:space="preserve"> ADDIN ZOTERO_ITEM CSL_CITATION {"citationID":"fnAFnDcC","properties":{"unsorted":false,"formattedCitation":"(Walkley &amp; Black, 1934)","plainCitation":"(Walkley &amp; Black, 1934)","noteIndex":0},"citationItems":[{"id":535,"uris":["http://zotero.org/users/14068823/items/EUKW5FFP"],"itemData":{"id":535,"type":"article-journal","abstract":"An abstract is unavailable. This article is available as a PDF only.","container-title":"Soil Science","ISSN":"0038-075X","issue":"1","language":"en-US","page":"29","source":"journals.lww.com","title":"AN EXAMINATION OF THE DEGTJAREFF METHOD FOR DETERMINING SOIL ORGANIC MATTER, AND A PROPOSED MODIFICATION OF THE CHROMIC ACID TITRATION METHOD","volume":"37","author":[{"family":"Walkley","given":"A."},{"family":"Black","given":"I. Armstrong"}],"issued":{"date-parts":[["1934",1]]}}}],"schema":"https://github.com/citation-style-language/schema/raw/master/csl-citation.json"} </w:instrText>
      </w:r>
      <w:r w:rsidR="00747D8B">
        <w:rPr>
          <w:sz w:val="22"/>
        </w:rPr>
        <w:fldChar w:fldCharType="separate"/>
      </w:r>
      <w:r w:rsidR="00747D8B" w:rsidRPr="00747D8B">
        <w:rPr>
          <w:rFonts w:cs="Times New Roman"/>
          <w:sz w:val="22"/>
        </w:rPr>
        <w:t>(Walkley &amp; Black, 1934)</w:t>
      </w:r>
      <w:r w:rsidR="00747D8B">
        <w:rPr>
          <w:sz w:val="22"/>
        </w:rPr>
        <w:fldChar w:fldCharType="end"/>
      </w:r>
      <w:r w:rsidRPr="00AF223D">
        <w:rPr>
          <w:sz w:val="22"/>
        </w:rPr>
        <w:t>. Exchangeable bases (Ca²⁺, Mg²⁺, K⁺ and Na⁺) were extracted with ammonium acetate and quantified following</w:t>
      </w:r>
      <w:r w:rsidR="00747D8B">
        <w:rPr>
          <w:sz w:val="22"/>
        </w:rPr>
        <w:t xml:space="preserve"> </w:t>
      </w:r>
      <w:r w:rsidR="00747D8B">
        <w:rPr>
          <w:sz w:val="22"/>
        </w:rPr>
        <w:fldChar w:fldCharType="begin"/>
      </w:r>
      <w:r w:rsidR="00747D8B">
        <w:rPr>
          <w:sz w:val="22"/>
        </w:rPr>
        <w:instrText xml:space="preserve"> ADDIN ZOTERO_ITEM CSL_CITATION {"citationID":"5ra5O9mN","properties":{"unsorted":false,"formattedCitation":"(Thomas, 1982)","plainCitation":"(Thomas, 1982)","noteIndex":0},"citationItems":[{"id":537,"uris":["http://zotero.org/users/14068823/items/68YJ9VEH"],"itemData":{"id":537,"type":"chapter","abstract":"Exchangeable cations are those that can be exchanged by a cation of an added salt solution. This chapter discusses exchange of the basic cations Ca 2+ , Mg 2+ , K + , and Na + and exchangeable acidity, primarily arising from the cations AI 3+ and H + . In the absence of excess CaCO 3 , the cations Ca 2+ , Mg 2+ , and Na + appear to be exchangeable by NH 4 OAc except in certain soils containing trioctahedral vermiculites. Exchangeable acidity is an arbitrary quantity composed of four types of acidity. The first is the H ions obtained from the hydrolysis of exchangeable, trivalent AI. The second is from hydrolysis of partially hydrolyzed and nonexchangeable AI. The third type is from weakly acidic groups on organic matter, and the fourth is exchangeable H. A number of workers have used the pH 7 methods of Schollenberger and Simon wherein the exchange capacity is determined by the NH 4+ retained from NH 4 OAc, the total exchangeable bases are determined in the NH 4 OAc leachate.","container-title":"Methods of Soil Analysis","DOI":"10.2134/agronmonogr9.2.2ed.c9","ISBN":"978-0-89118-977-0","language":"en","license":"Copyright 1982 © ASA-SSSA","note":"section: 9\n_eprint: https://acsess.onlinelibrary.wiley.com/doi/pdf/10.2134/agronmonogr9.2.2ed.c9","page":"159-165","publisher":"John Wiley &amp; Sons, Ltd","source":"Wiley Online Library","title":"Exchangeable Cations","URL":"https://onlinelibrary.wiley.com/doi/abs/10.2134/agronmonogr9.2.2ed.c9","author":[{"family":"Thomas","given":"Grant W."}],"accessed":{"date-parts":[["2025",12,22]]},"issued":{"date-parts":[["1982"]]}}}],"schema":"https://github.com/citation-style-language/schema/raw/master/csl-citation.json"} </w:instrText>
      </w:r>
      <w:r w:rsidR="00747D8B">
        <w:rPr>
          <w:sz w:val="22"/>
        </w:rPr>
        <w:fldChar w:fldCharType="separate"/>
      </w:r>
      <w:r w:rsidR="00747D8B" w:rsidRPr="00747D8B">
        <w:rPr>
          <w:rFonts w:cs="Times New Roman"/>
          <w:sz w:val="22"/>
        </w:rPr>
        <w:t>Thomas</w:t>
      </w:r>
      <w:r w:rsidR="00747D8B">
        <w:rPr>
          <w:rFonts w:cs="Times New Roman"/>
          <w:sz w:val="22"/>
        </w:rPr>
        <w:t xml:space="preserve"> (</w:t>
      </w:r>
      <w:r w:rsidR="00747D8B" w:rsidRPr="00747D8B">
        <w:rPr>
          <w:rFonts w:cs="Times New Roman"/>
          <w:sz w:val="22"/>
        </w:rPr>
        <w:t>1982)</w:t>
      </w:r>
      <w:r w:rsidR="00747D8B">
        <w:rPr>
          <w:sz w:val="22"/>
        </w:rPr>
        <w:fldChar w:fldCharType="end"/>
      </w:r>
      <w:r w:rsidRPr="00AF223D">
        <w:rPr>
          <w:sz w:val="22"/>
        </w:rPr>
        <w:t xml:space="preserve">. Effective cation exchange capacity (ECEC) was calculated as the sum of exchangeable cations. Bulk density (g cm⁻³) was estimated using </w:t>
      </w:r>
      <w:proofErr w:type="spellStart"/>
      <w:r w:rsidRPr="00AF223D">
        <w:rPr>
          <w:sz w:val="22"/>
        </w:rPr>
        <w:t>pedotransfer</w:t>
      </w:r>
      <w:proofErr w:type="spellEnd"/>
      <w:r w:rsidRPr="00AF223D">
        <w:rPr>
          <w:sz w:val="22"/>
        </w:rPr>
        <w:t xml:space="preserve"> functions reported by</w:t>
      </w:r>
      <w:r w:rsidR="00747D8B">
        <w:rPr>
          <w:sz w:val="22"/>
        </w:rPr>
        <w:t xml:space="preserve"> </w:t>
      </w:r>
      <w:r w:rsidR="00747D8B">
        <w:rPr>
          <w:sz w:val="22"/>
        </w:rPr>
        <w:fldChar w:fldCharType="begin"/>
      </w:r>
      <w:r w:rsidR="00747D8B">
        <w:rPr>
          <w:sz w:val="22"/>
        </w:rPr>
        <w:instrText xml:space="preserve"> ADDIN ZOTERO_ITEM CSL_CITATION {"citationID":"WZDTOGfR","properties":{"unsorted":false,"formattedCitation":"(Manrique &amp; Jones, 1991)","plainCitation":"(Manrique &amp; Jones, 1991)","noteIndex":0},"citationItems":[{"id":539,"uris":["http://zotero.org/users/14068823/items/55QEANZV"],"itemData":{"id":539,"type":"article-journal","abstract":"Soil scientists and engineers commonly require bulk density (Db) data as parameter input of simulation models predicting a wide range of soil processes. Field methods exist to measure Db, but are labor intensive and time consuming. Much effort has been recently devoted to evaluate alternative procedures to predict Db from soil physical and chemical data. Using data of about 12 000 soil pedons from the continental USA, Hawaii, Puerto Rico, and some foreign countries, multiple regression relationships were developed to predict Db at −33 kPa moisture content. The data base was partitioned in small homogeneous data sets according to their Soil Taxonomy classification. Regression relationships between Db and soil properties indicated that Db can be accurately predicted (R2 &gt; 0.60) from organic-C content for Inceptisols and Spodosols. Regression relationships with organic C and clay contents, water content at −1500 kPa, and the −1500 kPa water to clay ratio gave R2 values from 0.53 to 0.74 for Ultisols, Alfisols, Vertisols, Oxisols, and Inceptisols. The predictive capability of the regression models was greatly improved when the data were partitioned by suborders for all but Aridisols, Entisols, and Mollisols. The results of this study show that, for soils grouped according to their taxonomic classification, multiple-regression models based on soil properties can provide a relatively accurate alternative for predicting Db.","container-title":"Soil Science Society of America Journal","DOI":"10.2136/sssaj1991.03615995005500020030x","ISSN":"1435-0661","issue":"2","language":"en","license":"© 1991 Soil Science Society of America","note":"_eprint: https://acsess.onlinelibrary.wiley.com/doi/pdf/10.2136/sssaj1991.03615995005500020030x","page":"476-481","source":"Wiley Online Library","title":"Bulk Density of Soils in Relation to Soil Physical and Chemical Properties","volume":"55","author":[{"family":"Manrique","given":"L. A."},{"family":"Jones","given":"C. A."}],"issued":{"date-parts":[["1991"]]}}}],"schema":"https://github.com/citation-style-language/schema/raw/master/csl-citation.json"} </w:instrText>
      </w:r>
      <w:r w:rsidR="00747D8B">
        <w:rPr>
          <w:sz w:val="22"/>
        </w:rPr>
        <w:fldChar w:fldCharType="separate"/>
      </w:r>
      <w:r w:rsidR="00747D8B" w:rsidRPr="00747D8B">
        <w:rPr>
          <w:rFonts w:cs="Times New Roman"/>
          <w:sz w:val="22"/>
        </w:rPr>
        <w:t xml:space="preserve">Manrique &amp; Jones </w:t>
      </w:r>
      <w:r w:rsidR="00747D8B">
        <w:rPr>
          <w:rFonts w:cs="Times New Roman"/>
          <w:sz w:val="22"/>
        </w:rPr>
        <w:t>(</w:t>
      </w:r>
      <w:r w:rsidR="00747D8B" w:rsidRPr="00747D8B">
        <w:rPr>
          <w:rFonts w:cs="Times New Roman"/>
          <w:sz w:val="22"/>
        </w:rPr>
        <w:t>1991)</w:t>
      </w:r>
      <w:r w:rsidR="00747D8B">
        <w:rPr>
          <w:sz w:val="22"/>
        </w:rPr>
        <w:fldChar w:fldCharType="end"/>
      </w:r>
      <w:r w:rsidRPr="00AF223D">
        <w:rPr>
          <w:sz w:val="22"/>
        </w:rPr>
        <w:t xml:space="preserve"> and</w:t>
      </w:r>
      <w:r w:rsidR="00747D8B">
        <w:rPr>
          <w:sz w:val="22"/>
        </w:rPr>
        <w:t xml:space="preserve"> </w:t>
      </w:r>
      <w:r w:rsidR="00747D8B">
        <w:rPr>
          <w:sz w:val="22"/>
        </w:rPr>
        <w:fldChar w:fldCharType="begin"/>
      </w:r>
      <w:r w:rsidR="00747D8B">
        <w:rPr>
          <w:sz w:val="22"/>
        </w:rPr>
        <w:instrText xml:space="preserve"> ADDIN ZOTERO_ITEM CSL_CITATION {"citationID":"jQAAyqT3","properties":{"unsorted":false,"formattedCitation":"(Rawls, 1983)","plainCitation":"(Rawls, 1983)","noteIndex":0},"citationItems":[{"id":541,"uris":["http://zotero.org/users/14068823/items/MGNG8ASQ"],"itemData":{"id":541,"type":"article-journal","abstract":"An abstract is unavailable. This article is available as a PDF only.","container-title":"Soil Science","ISSN":"0038-075X","issue":"2","language":"en-US","page":"123","source":"journals.lww.com","title":"ESTIMATING SOIL BULK DENSITY FROM PARTICLE SIZE ANALYSIS AND ORGANIC MATTER CONTENT","volume":"135","author":[{"family":"Rawls","given":"Walter J."}],"issued":{"date-parts":[["1983",2]]}}}],"schema":"https://github.com/citation-style-language/schema/raw/master/csl-citation.json"} </w:instrText>
      </w:r>
      <w:r w:rsidR="00747D8B">
        <w:rPr>
          <w:sz w:val="22"/>
        </w:rPr>
        <w:fldChar w:fldCharType="separate"/>
      </w:r>
      <w:r w:rsidR="00747D8B" w:rsidRPr="00747D8B">
        <w:rPr>
          <w:rFonts w:cs="Times New Roman"/>
          <w:sz w:val="22"/>
        </w:rPr>
        <w:t xml:space="preserve">Rawls </w:t>
      </w:r>
      <w:r w:rsidR="00747D8B">
        <w:rPr>
          <w:rFonts w:cs="Times New Roman"/>
          <w:sz w:val="22"/>
        </w:rPr>
        <w:t>(</w:t>
      </w:r>
      <w:r w:rsidR="00747D8B" w:rsidRPr="00747D8B">
        <w:rPr>
          <w:rFonts w:cs="Times New Roman"/>
          <w:sz w:val="22"/>
        </w:rPr>
        <w:t>1983)</w:t>
      </w:r>
      <w:r w:rsidR="00747D8B">
        <w:rPr>
          <w:sz w:val="22"/>
        </w:rPr>
        <w:fldChar w:fldCharType="end"/>
      </w:r>
      <w:r w:rsidRPr="00AF223D">
        <w:rPr>
          <w:sz w:val="22"/>
        </w:rPr>
        <w:t xml:space="preserve">. In general form, the </w:t>
      </w:r>
      <w:proofErr w:type="spellStart"/>
      <w:r w:rsidRPr="00AF223D">
        <w:rPr>
          <w:sz w:val="22"/>
        </w:rPr>
        <w:t>pedotransfer</w:t>
      </w:r>
      <w:proofErr w:type="spellEnd"/>
      <w:r w:rsidRPr="00AF223D">
        <w:rPr>
          <w:sz w:val="22"/>
        </w:rPr>
        <w:t xml:space="preserve"> relationship used can be expressed as:</w:t>
      </w:r>
    </w:p>
    <w:p w14:paraId="33AD1BE9" w14:textId="77777777" w:rsidR="003B41E9" w:rsidRPr="00AF223D" w:rsidRDefault="00000000">
      <w:pPr>
        <w:rPr>
          <w:sz w:val="22"/>
        </w:rPr>
      </w:pPr>
      <m:oMathPara>
        <m:oMath>
          <m:r>
            <w:rPr>
              <w:rFonts w:ascii="Cambria Math" w:hAnsi="Cambria Math"/>
              <w:sz w:val="22"/>
            </w:rPr>
            <m:t>BD</m:t>
          </m:r>
          <m:r>
            <m:rPr>
              <m:sty m:val="p"/>
            </m:rPr>
            <w:rPr>
              <w:rFonts w:ascii="Cambria Math" w:hAnsi="Cambria Math"/>
              <w:sz w:val="22"/>
            </w:rPr>
            <m:t>=</m:t>
          </m:r>
          <m:r>
            <w:rPr>
              <w:rFonts w:ascii="Cambria Math" w:hAnsi="Cambria Math"/>
              <w:sz w:val="22"/>
            </w:rPr>
            <m:t>1.66</m:t>
          </m:r>
          <m:r>
            <m:rPr>
              <m:sty m:val="p"/>
            </m:rPr>
            <w:rPr>
              <w:rFonts w:ascii="Cambria Math" w:hAnsi="Cambria Math"/>
              <w:sz w:val="22"/>
            </w:rPr>
            <m:t>-</m:t>
          </m:r>
          <m:r>
            <w:rPr>
              <w:rFonts w:ascii="Cambria Math" w:hAnsi="Cambria Math"/>
              <w:sz w:val="22"/>
            </w:rPr>
            <m:t>0.004</m:t>
          </m:r>
          <m:r>
            <m:rPr>
              <m:sty m:val="p"/>
            </m:rPr>
            <w:rPr>
              <w:rFonts w:ascii="Cambria Math" w:hAnsi="Cambria Math"/>
              <w:sz w:val="22"/>
            </w:rPr>
            <m:t>×</m:t>
          </m:r>
          <m:r>
            <w:rPr>
              <w:rFonts w:ascii="Cambria Math" w:hAnsi="Cambria Math"/>
              <w:sz w:val="22"/>
            </w:rPr>
            <m:t>Clay</m:t>
          </m:r>
          <m:r>
            <m:rPr>
              <m:sty m:val="p"/>
            </m:rPr>
            <w:rPr>
              <w:rFonts w:ascii="Cambria Math" w:hAnsi="Cambria Math"/>
              <w:sz w:val="22"/>
            </w:rPr>
            <m:t>-</m:t>
          </m:r>
          <m:r>
            <w:rPr>
              <w:rFonts w:ascii="Cambria Math" w:hAnsi="Cambria Math"/>
              <w:sz w:val="22"/>
            </w:rPr>
            <m:t>0.002</m:t>
          </m:r>
          <m:r>
            <m:rPr>
              <m:sty m:val="p"/>
            </m:rPr>
            <w:rPr>
              <w:rFonts w:ascii="Cambria Math" w:hAnsi="Cambria Math"/>
              <w:sz w:val="22"/>
            </w:rPr>
            <m:t>×</m:t>
          </m:r>
          <m:r>
            <w:rPr>
              <w:rFonts w:ascii="Cambria Math" w:hAnsi="Cambria Math"/>
              <w:sz w:val="22"/>
            </w:rPr>
            <m:t>Silt</m:t>
          </m:r>
          <m:r>
            <m:rPr>
              <m:sty m:val="p"/>
            </m:rPr>
            <w:rPr>
              <w:rFonts w:ascii="Cambria Math" w:hAnsi="Cambria Math"/>
              <w:sz w:val="22"/>
            </w:rPr>
            <m:t>-</m:t>
          </m:r>
          <m:d>
            <m:dPr>
              <m:ctrlPr>
                <w:rPr>
                  <w:rFonts w:ascii="Cambria Math" w:hAnsi="Cambria Math"/>
                  <w:sz w:val="22"/>
                </w:rPr>
              </m:ctrlPr>
            </m:dPr>
            <m:e>
              <m:r>
                <w:rPr>
                  <w:rFonts w:ascii="Cambria Math" w:hAnsi="Cambria Math"/>
                  <w:sz w:val="22"/>
                </w:rPr>
                <m:t>0.005</m:t>
              </m:r>
              <m:r>
                <m:rPr>
                  <m:sty m:val="p"/>
                </m:rPr>
                <w:rPr>
                  <w:rFonts w:ascii="Cambria Math" w:hAnsi="Cambria Math"/>
                  <w:sz w:val="22"/>
                </w:rPr>
                <m:t>×</m:t>
              </m:r>
              <m:r>
                <w:rPr>
                  <w:rFonts w:ascii="Cambria Math" w:hAnsi="Cambria Math"/>
                  <w:sz w:val="22"/>
                </w:rPr>
                <m:t>OM</m:t>
              </m:r>
            </m:e>
          </m:d>
        </m:oMath>
      </m:oMathPara>
    </w:p>
    <w:p w14:paraId="131487E0" w14:textId="77777777" w:rsidR="003B41E9" w:rsidRPr="00AF223D" w:rsidRDefault="00000000">
      <w:pPr>
        <w:pStyle w:val="Ttulo2"/>
        <w:rPr>
          <w:sz w:val="22"/>
          <w:szCs w:val="22"/>
        </w:rPr>
      </w:pPr>
      <w:bookmarkStart w:id="6" w:name="X2993b06354273913225356441db80890a8481cd"/>
      <w:bookmarkEnd w:id="5"/>
      <w:r w:rsidRPr="00AF223D">
        <w:rPr>
          <w:sz w:val="22"/>
          <w:szCs w:val="22"/>
        </w:rPr>
        <w:t>Extraction of the Normalized Difference Vegetation Index (NDVI)</w:t>
      </w:r>
    </w:p>
    <w:p w14:paraId="15AD4D45" w14:textId="73AEC3FE" w:rsidR="003B41E9" w:rsidRPr="00AF223D" w:rsidRDefault="0025641A">
      <w:pPr>
        <w:rPr>
          <w:sz w:val="22"/>
        </w:rPr>
      </w:pPr>
      <w:r w:rsidRPr="00AF223D">
        <w:rPr>
          <w:sz w:val="22"/>
        </w:rPr>
        <w:t xml:space="preserve">NDVI was included as an environmental covariate because vegetation vigor integrates the combined effects of soil fertility, moisture availability, salinity, and </w:t>
      </w:r>
      <w:proofErr w:type="spellStart"/>
      <w:r w:rsidRPr="00AF223D">
        <w:rPr>
          <w:sz w:val="22"/>
        </w:rPr>
        <w:t>sodicity</w:t>
      </w:r>
      <w:proofErr w:type="spellEnd"/>
      <w:r w:rsidRPr="00AF223D">
        <w:rPr>
          <w:sz w:val="22"/>
        </w:rPr>
        <w:t xml:space="preserve"> under field conditions. Although NDVI does not directly measure soil properties, it serves as an indirect proxy for soil functional condition and has been widely used in digital soil mapping to improve the prediction of soil spatial variability. NDVI was computed in Google Earth Engine for the period January-December, 2024. This temporal window was chosen according to the sampling dates. Sentinel-2 SR Harmonized imagery (Level-2A) from the specified interval was used to derive NDVI, </w:t>
      </w:r>
      <w:r w:rsidRPr="00AF223D">
        <w:rPr>
          <w:sz w:val="22"/>
        </w:rPr>
        <w:lastRenderedPageBreak/>
        <w:t>calculated as (NIR − Red) / (NIR + Red) using bands B8 and B4. A cloud-masking routine based on the QA60 quality band was applied to identify and exclude cloud-affected pixels, and only cloud-free observations were retained for analysis. Following processing, NDVI values were extracted at each soil sampling location, and each record was annotated with the sampling point coordinates and the image acquisition date. To obtain a representative annual value, the median NDVI was calculated across all cloud-free images within the selected period.</w:t>
      </w:r>
    </w:p>
    <w:p w14:paraId="347A0454" w14:textId="77777777" w:rsidR="003B41E9" w:rsidRPr="00AF223D" w:rsidRDefault="00000000">
      <w:pPr>
        <w:pStyle w:val="Ttulo2"/>
        <w:rPr>
          <w:sz w:val="22"/>
          <w:szCs w:val="22"/>
        </w:rPr>
      </w:pPr>
      <w:bookmarkStart w:id="7" w:name="Xe878410df1a7e57ace05537991cb0ed6cc44beb"/>
      <w:bookmarkEnd w:id="6"/>
      <w:r w:rsidRPr="00AF223D">
        <w:rPr>
          <w:sz w:val="22"/>
          <w:szCs w:val="22"/>
        </w:rPr>
        <w:t>Development of the Weighted Soil Quality Index (</w:t>
      </w:r>
      <w:proofErr w:type="spellStart"/>
      <w:r w:rsidRPr="00AF223D">
        <w:rPr>
          <w:sz w:val="22"/>
          <w:szCs w:val="22"/>
        </w:rPr>
        <w:t>SQIw</w:t>
      </w:r>
      <w:proofErr w:type="spellEnd"/>
      <w:r w:rsidRPr="00AF223D">
        <w:rPr>
          <w:sz w:val="22"/>
          <w:szCs w:val="22"/>
        </w:rPr>
        <w:t>)</w:t>
      </w:r>
    </w:p>
    <w:p w14:paraId="4804EBCF" w14:textId="77777777" w:rsidR="003B41E9" w:rsidRPr="00AF223D" w:rsidRDefault="00000000">
      <w:pPr>
        <w:pStyle w:val="Ttulo3"/>
        <w:rPr>
          <w:sz w:val="22"/>
          <w:szCs w:val="22"/>
        </w:rPr>
      </w:pPr>
      <w:bookmarkStart w:id="8" w:name="selection-of-the-minimum-data-set-mds"/>
      <w:r w:rsidRPr="00AF223D">
        <w:rPr>
          <w:bCs/>
          <w:sz w:val="22"/>
          <w:szCs w:val="22"/>
        </w:rPr>
        <w:t>Selection of the minimum data set (MDS)</w:t>
      </w:r>
    </w:p>
    <w:p w14:paraId="7FD74BDC" w14:textId="77777777" w:rsidR="003B41E9" w:rsidRPr="00AF223D" w:rsidRDefault="00000000">
      <w:pPr>
        <w:rPr>
          <w:sz w:val="22"/>
        </w:rPr>
      </w:pPr>
      <w:r w:rsidRPr="00AF223D">
        <w:rPr>
          <w:sz w:val="22"/>
        </w:rPr>
        <w:t>Variables with skewness &gt; 1.0 were log-transformed, and those with skewness between 0.5 and 1.0 were square-</w:t>
      </w:r>
      <w:proofErr w:type="spellStart"/>
      <w:r w:rsidRPr="00AF223D">
        <w:rPr>
          <w:sz w:val="22"/>
        </w:rPr>
        <w:t>root</w:t>
      </w:r>
      <w:proofErr w:type="spellEnd"/>
      <w:r w:rsidRPr="00AF223D">
        <w:rPr>
          <w:sz w:val="22"/>
        </w:rPr>
        <w:t xml:space="preserve"> transformed to improve distributional symmetry.</w:t>
      </w:r>
    </w:p>
    <w:p w14:paraId="01862F69" w14:textId="60D2E32B" w:rsidR="003B41E9" w:rsidRPr="00AF223D" w:rsidRDefault="00000000">
      <w:pPr>
        <w:rPr>
          <w:sz w:val="22"/>
        </w:rPr>
      </w:pPr>
      <w:r w:rsidRPr="00AF223D">
        <w:rPr>
          <w:sz w:val="22"/>
        </w:rPr>
        <w:t>Pairwise Pearson correlations were then computed among the retained variables to detect collinearity. Variable pairs with |r| &gt; 0.70 were considered collinear; within each collinear pair, one variable was excluded, preferentially retaining the variable that exhibited a statistically significant correlation with NDVI (p &lt; 0.001)</w:t>
      </w:r>
      <w:r w:rsidR="0025641A" w:rsidRPr="00AF223D">
        <w:rPr>
          <w:sz w:val="22"/>
        </w:rPr>
        <w:t>, as these variables were considered more closely associated with crop performance and the functional response of the soil under field conditions,</w:t>
      </w:r>
      <w:r w:rsidRPr="00AF223D">
        <w:rPr>
          <w:sz w:val="22"/>
        </w:rPr>
        <w:t xml:space="preserve"> and/or greater analytical reliability. The remaining variables were standardized (z-score) and subjected to principal component analysis (PCA). Components with eigenvalues greater than 1 were retained, and for each retained component the two variables with the largest absolute loadings were selected to compose the MDS. The resulting MDS variables were used to construct the weighted </w:t>
      </w:r>
      <w:proofErr w:type="spellStart"/>
      <w:r w:rsidRPr="00AF223D">
        <w:rPr>
          <w:sz w:val="22"/>
        </w:rPr>
        <w:t>SQIw</w:t>
      </w:r>
      <w:proofErr w:type="spellEnd"/>
      <w:r w:rsidRPr="00AF223D">
        <w:rPr>
          <w:sz w:val="22"/>
        </w:rPr>
        <w:t>.</w:t>
      </w:r>
      <w:r w:rsidR="00012A75" w:rsidRPr="00AF223D">
        <w:rPr>
          <w:sz w:val="22"/>
        </w:rPr>
        <w:t xml:space="preserve"> The MDS approach was adopted to obtain a parsimonious and non-redundant set of indicators that captured the dominant gradients of soil variability while minimizing multicollinearity among variables. Accordingly, only variables meeting the predefined statistical selection criteria were retained for </w:t>
      </w:r>
      <w:proofErr w:type="spellStart"/>
      <w:r w:rsidR="00012A75" w:rsidRPr="00AF223D">
        <w:rPr>
          <w:sz w:val="22"/>
        </w:rPr>
        <w:t>SQIw</w:t>
      </w:r>
      <w:proofErr w:type="spellEnd"/>
      <w:r w:rsidR="00012A75" w:rsidRPr="00AF223D">
        <w:rPr>
          <w:sz w:val="22"/>
        </w:rPr>
        <w:t xml:space="preserve"> construction.</w:t>
      </w:r>
    </w:p>
    <w:p w14:paraId="13D5859F" w14:textId="77777777" w:rsidR="003B41E9" w:rsidRPr="00AF223D" w:rsidRDefault="00000000">
      <w:pPr>
        <w:pStyle w:val="Ttulo3"/>
        <w:rPr>
          <w:sz w:val="22"/>
          <w:szCs w:val="22"/>
        </w:rPr>
      </w:pPr>
      <w:bookmarkStart w:id="9" w:name="Xf7f72f81731e6990b1990272a2dc9012f452cf0"/>
      <w:bookmarkEnd w:id="8"/>
      <w:r w:rsidRPr="00AF223D">
        <w:rPr>
          <w:bCs/>
          <w:sz w:val="22"/>
          <w:szCs w:val="22"/>
        </w:rPr>
        <w:t>Assignment of weights to the MDS variables</w:t>
      </w:r>
    </w:p>
    <w:p w14:paraId="0173DA44" w14:textId="77777777" w:rsidR="003B41E9" w:rsidRPr="00AF223D" w:rsidRDefault="00000000">
      <w:pPr>
        <w:rPr>
          <w:sz w:val="22"/>
        </w:rPr>
      </w:pPr>
      <w:r w:rsidRPr="00AF223D">
        <w:rPr>
          <w:sz w:val="22"/>
        </w:rPr>
        <w:t>PCA was applied to the MDS to calculate the relative weights (Wᵢ) of each variable based on their contributions to the principal components that together accounted for at least 70% of the cumulative variance. The weight assigned to each variable was obtained as a weighted sum of its individual contributions (Cᵢⱼ), adjusted by the proportion of variance explained by each component (Vⱼ), following the expression:</w:t>
      </w:r>
    </w:p>
    <w:p w14:paraId="548915D7" w14:textId="77777777" w:rsidR="003B41E9" w:rsidRPr="00AF223D" w:rsidRDefault="00000000">
      <w:pPr>
        <w:rPr>
          <w:sz w:val="22"/>
        </w:rPr>
      </w:pPr>
      <m:oMathPara>
        <m:oMath>
          <m:sSub>
            <m:sSubPr>
              <m:ctrlPr>
                <w:rPr>
                  <w:rFonts w:ascii="Cambria Math" w:hAnsi="Cambria Math"/>
                  <w:sz w:val="22"/>
                </w:rPr>
              </m:ctrlPr>
            </m:sSubPr>
            <m:e>
              <m:r>
                <w:rPr>
                  <w:rFonts w:ascii="Cambria Math" w:hAnsi="Cambria Math"/>
                  <w:sz w:val="22"/>
                </w:rPr>
                <m:t>W</m:t>
              </m:r>
            </m:e>
            <m:sub>
              <m:r>
                <w:rPr>
                  <w:rFonts w:ascii="Cambria Math" w:hAnsi="Cambria Math"/>
                  <w:sz w:val="22"/>
                </w:rPr>
                <m:t>i</m:t>
              </m:r>
            </m:sub>
          </m:sSub>
          <m:r>
            <m:rPr>
              <m:sty m:val="p"/>
            </m:rPr>
            <w:rPr>
              <w:rFonts w:ascii="Cambria Math" w:hAnsi="Cambria Math"/>
              <w:sz w:val="22"/>
            </w:rPr>
            <m:t>=</m:t>
          </m:r>
          <m:f>
            <m:fPr>
              <m:ctrlPr>
                <w:rPr>
                  <w:rFonts w:ascii="Cambria Math" w:hAnsi="Cambria Math"/>
                  <w:sz w:val="22"/>
                </w:rPr>
              </m:ctrlPr>
            </m:fPr>
            <m:num>
              <m:nary>
                <m:naryPr>
                  <m:chr m:val="∑"/>
                  <m:limLoc m:val="undOvr"/>
                  <m:ctrlPr>
                    <w:rPr>
                      <w:rFonts w:ascii="Cambria Math" w:hAnsi="Cambria Math"/>
                      <w:sz w:val="22"/>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r>
                    <w:rPr>
                      <w:rFonts w:ascii="Cambria Math" w:hAnsi="Cambria Math"/>
                      <w:sz w:val="22"/>
                    </w:rPr>
                    <m:t>p</m:t>
                  </m:r>
                </m:sup>
                <m:e>
                  <m:sSub>
                    <m:sSubPr>
                      <m:ctrlPr>
                        <w:rPr>
                          <w:rFonts w:ascii="Cambria Math" w:hAnsi="Cambria Math"/>
                          <w:sz w:val="22"/>
                        </w:rPr>
                      </m:ctrlPr>
                    </m:sSubPr>
                    <m:e>
                      <m:r>
                        <w:rPr>
                          <w:rFonts w:ascii="Cambria Math" w:hAnsi="Cambria Math"/>
                          <w:sz w:val="22"/>
                        </w:rPr>
                        <m:t>C</m:t>
                      </m:r>
                    </m:e>
                    <m:sub>
                      <m:r>
                        <w:rPr>
                          <w:rFonts w:ascii="Cambria Math" w:hAnsi="Cambria Math"/>
                          <w:sz w:val="22"/>
                        </w:rPr>
                        <m:t>ij</m:t>
                      </m:r>
                    </m:sub>
                  </m:sSub>
                </m:e>
              </m:nary>
              <m:sSub>
                <m:sSubPr>
                  <m:ctrlPr>
                    <w:rPr>
                      <w:rFonts w:ascii="Cambria Math" w:hAnsi="Cambria Math"/>
                      <w:sz w:val="22"/>
                    </w:rPr>
                  </m:ctrlPr>
                </m:sSubPr>
                <m:e>
                  <m:r>
                    <w:rPr>
                      <w:rFonts w:ascii="Cambria Math" w:hAnsi="Cambria Math"/>
                      <w:sz w:val="22"/>
                    </w:rPr>
                    <m:t>V</m:t>
                  </m:r>
                </m:e>
                <m:sub>
                  <m:r>
                    <w:rPr>
                      <w:rFonts w:ascii="Cambria Math" w:hAnsi="Cambria Math"/>
                      <w:sz w:val="22"/>
                    </w:rPr>
                    <m:t>j</m:t>
                  </m:r>
                </m:sub>
              </m:sSub>
            </m:num>
            <m:den>
              <m:nary>
                <m:naryPr>
                  <m:chr m:val="∑"/>
                  <m:limLoc m:val="undOvr"/>
                  <m:ctrlPr>
                    <w:rPr>
                      <w:rFonts w:ascii="Cambria Math" w:hAnsi="Cambria Math"/>
                      <w:sz w:val="22"/>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r>
                    <w:rPr>
                      <w:rFonts w:ascii="Cambria Math" w:hAnsi="Cambria Math"/>
                      <w:sz w:val="22"/>
                    </w:rPr>
                    <m:t>p</m:t>
                  </m:r>
                </m:sup>
                <m:e>
                  <m:sSub>
                    <m:sSubPr>
                      <m:ctrlPr>
                        <w:rPr>
                          <w:rFonts w:ascii="Cambria Math" w:hAnsi="Cambria Math"/>
                          <w:sz w:val="22"/>
                        </w:rPr>
                      </m:ctrlPr>
                    </m:sSubPr>
                    <m:e>
                      <m:r>
                        <w:rPr>
                          <w:rFonts w:ascii="Cambria Math" w:hAnsi="Cambria Math"/>
                          <w:sz w:val="22"/>
                        </w:rPr>
                        <m:t>V</m:t>
                      </m:r>
                    </m:e>
                    <m:sub>
                      <m:r>
                        <w:rPr>
                          <w:rFonts w:ascii="Cambria Math" w:hAnsi="Cambria Math"/>
                          <w:sz w:val="22"/>
                        </w:rPr>
                        <m:t>j</m:t>
                      </m:r>
                    </m:sub>
                  </m:sSub>
                </m:e>
              </m:nary>
            </m:den>
          </m:f>
        </m:oMath>
      </m:oMathPara>
    </w:p>
    <w:p w14:paraId="2A17C4F8" w14:textId="77777777" w:rsidR="003B41E9" w:rsidRPr="00AF223D" w:rsidRDefault="00000000">
      <w:pPr>
        <w:pStyle w:val="Ttulo3"/>
        <w:rPr>
          <w:sz w:val="22"/>
          <w:szCs w:val="22"/>
        </w:rPr>
      </w:pPr>
      <w:bookmarkStart w:id="10" w:name="normalization-of-variables"/>
      <w:bookmarkEnd w:id="9"/>
      <w:r w:rsidRPr="00AF223D">
        <w:rPr>
          <w:bCs/>
          <w:sz w:val="22"/>
          <w:szCs w:val="22"/>
        </w:rPr>
        <w:t>Normalization of variables</w:t>
      </w:r>
    </w:p>
    <w:p w14:paraId="6CEC1BFB" w14:textId="36A20738" w:rsidR="00C9712A" w:rsidRPr="00AF223D" w:rsidRDefault="00000000">
      <w:pPr>
        <w:rPr>
          <w:sz w:val="22"/>
        </w:rPr>
      </w:pPr>
      <w:r w:rsidRPr="00AF223D">
        <w:rPr>
          <w:sz w:val="22"/>
        </w:rPr>
        <w:t xml:space="preserve">The MDS variables were normalized to a dimensionless scale ranging from 0 to 1, where values approaching 1 indicate favorable soil-quality conditions and values near 0 reflect limiting conditions. Normalization was </w:t>
      </w:r>
      <w:r w:rsidRPr="00AF223D">
        <w:rPr>
          <w:sz w:val="22"/>
        </w:rPr>
        <w:lastRenderedPageBreak/>
        <w:t xml:space="preserve">performed using threshold ranges defined in </w:t>
      </w:r>
      <w:hyperlink r:id="rId11" w:anchor="bookmark=id.sjf1mip84cvw">
        <w:r w:rsidR="00C9712A" w:rsidRPr="00AF223D">
          <w:rPr>
            <w:rStyle w:val="Hipervnculo"/>
            <w:color w:val="auto"/>
            <w:sz w:val="22"/>
          </w:rPr>
          <w:t>Table 1</w:t>
        </w:r>
      </w:hyperlink>
      <w:r w:rsidRPr="00AF223D">
        <w:rPr>
          <w:sz w:val="22"/>
        </w:rPr>
        <w:t>. Three scoring functions were applied: “more is better”, “less is better” and “optimal range” depending on the expected relationship between each variable and soil quality. This procedure standardized measurement units and facilitated direct comparison among the different soil-quality indicators.</w:t>
      </w:r>
    </w:p>
    <w:tbl>
      <w:tblPr>
        <w:tblStyle w:val="Table"/>
        <w:tblW w:w="5000" w:type="pct"/>
        <w:tblLayout w:type="fixed"/>
        <w:tblLook w:val="0000" w:firstRow="0" w:lastRow="0" w:firstColumn="0" w:lastColumn="0" w:noHBand="0" w:noVBand="0"/>
      </w:tblPr>
      <w:tblGrid>
        <w:gridCol w:w="9777"/>
      </w:tblGrid>
      <w:tr w:rsidR="00AF223D" w:rsidRPr="00AF223D" w14:paraId="1D83A9D9" w14:textId="77777777" w:rsidTr="00C9712A">
        <w:tc>
          <w:tcPr>
            <w:tcW w:w="9777" w:type="dxa"/>
          </w:tcPr>
          <w:p w14:paraId="38FA6DBC" w14:textId="77777777" w:rsidR="003B41E9" w:rsidRPr="00AF223D" w:rsidRDefault="00000000">
            <w:pPr>
              <w:spacing w:before="200"/>
              <w:jc w:val="left"/>
              <w:rPr>
                <w:sz w:val="22"/>
              </w:rPr>
            </w:pPr>
            <w:bookmarkStart w:id="11" w:name="tbl-id.sjf1mip84cvw"/>
            <w:r w:rsidRPr="00AF223D">
              <w:rPr>
                <w:sz w:val="22"/>
              </w:rPr>
              <w:t>Table 1: Theoretical thresholds and response types of the soil variables used for normalizing the weighted soil quality index (</w:t>
            </w:r>
            <w:proofErr w:type="spellStart"/>
            <w:r w:rsidRPr="00AF223D">
              <w:rPr>
                <w:sz w:val="22"/>
              </w:rPr>
              <w:t>SQIw</w:t>
            </w:r>
            <w:proofErr w:type="spellEnd"/>
            <w:r w:rsidRPr="00AF223D">
              <w:rPr>
                <w:sz w:val="22"/>
              </w:rPr>
              <w:t>) in mango and banana fields.</w:t>
            </w:r>
          </w:p>
          <w:tbl>
            <w:tblPr>
              <w:tblStyle w:val="Table"/>
              <w:tblW w:w="5000" w:type="pct"/>
              <w:tblLayout w:type="fixed"/>
              <w:tblLook w:val="0020" w:firstRow="1" w:lastRow="0" w:firstColumn="0" w:lastColumn="0" w:noHBand="0" w:noVBand="0"/>
            </w:tblPr>
            <w:tblGrid>
              <w:gridCol w:w="1579"/>
              <w:gridCol w:w="1579"/>
              <w:gridCol w:w="1580"/>
              <w:gridCol w:w="1580"/>
              <w:gridCol w:w="1580"/>
              <w:gridCol w:w="1663"/>
            </w:tblGrid>
            <w:tr w:rsidR="00AF223D" w:rsidRPr="00AF223D" w14:paraId="5B0D83CE" w14:textId="77777777" w:rsidTr="003B41E9">
              <w:trPr>
                <w:cnfStyle w:val="100000000000" w:firstRow="1" w:lastRow="0" w:firstColumn="0" w:lastColumn="0" w:oddVBand="0" w:evenVBand="0" w:oddHBand="0" w:evenHBand="0" w:firstRowFirstColumn="0" w:firstRowLastColumn="0" w:lastRowFirstColumn="0" w:lastRowLastColumn="0"/>
                <w:tblHeader/>
              </w:trPr>
              <w:tc>
                <w:tcPr>
                  <w:tcW w:w="1308" w:type="dxa"/>
                </w:tcPr>
                <w:p w14:paraId="7A50A161" w14:textId="77777777" w:rsidR="003B41E9" w:rsidRPr="00AF223D" w:rsidRDefault="00000000">
                  <w:pPr>
                    <w:jc w:val="center"/>
                    <w:rPr>
                      <w:sz w:val="22"/>
                    </w:rPr>
                  </w:pPr>
                  <w:r w:rsidRPr="00AF223D">
                    <w:rPr>
                      <w:bCs/>
                      <w:sz w:val="22"/>
                    </w:rPr>
                    <w:t>Variable</w:t>
                  </w:r>
                </w:p>
              </w:tc>
              <w:tc>
                <w:tcPr>
                  <w:tcW w:w="1308" w:type="dxa"/>
                </w:tcPr>
                <w:p w14:paraId="024C0F83" w14:textId="77777777" w:rsidR="003B41E9" w:rsidRPr="00AF223D" w:rsidRDefault="00000000">
                  <w:pPr>
                    <w:jc w:val="center"/>
                    <w:rPr>
                      <w:sz w:val="22"/>
                    </w:rPr>
                  </w:pPr>
                  <w:proofErr w:type="spellStart"/>
                  <w:r w:rsidRPr="00AF223D">
                    <w:rPr>
                      <w:bCs/>
                      <w:sz w:val="22"/>
                    </w:rPr>
                    <w:t>Lmin</w:t>
                  </w:r>
                  <w:proofErr w:type="spellEnd"/>
                </w:p>
              </w:tc>
              <w:tc>
                <w:tcPr>
                  <w:tcW w:w="1308" w:type="dxa"/>
                </w:tcPr>
                <w:p w14:paraId="3AFBBF13" w14:textId="77777777" w:rsidR="003B41E9" w:rsidRPr="00AF223D" w:rsidRDefault="00000000">
                  <w:pPr>
                    <w:jc w:val="center"/>
                    <w:rPr>
                      <w:sz w:val="22"/>
                    </w:rPr>
                  </w:pPr>
                  <w:proofErr w:type="spellStart"/>
                  <w:r w:rsidRPr="00AF223D">
                    <w:rPr>
                      <w:bCs/>
                      <w:sz w:val="22"/>
                    </w:rPr>
                    <w:t>Lopt_low</w:t>
                  </w:r>
                  <w:proofErr w:type="spellEnd"/>
                </w:p>
              </w:tc>
              <w:tc>
                <w:tcPr>
                  <w:tcW w:w="1308" w:type="dxa"/>
                </w:tcPr>
                <w:p w14:paraId="66DE155E" w14:textId="77777777" w:rsidR="003B41E9" w:rsidRPr="00AF223D" w:rsidRDefault="00000000">
                  <w:pPr>
                    <w:jc w:val="center"/>
                    <w:rPr>
                      <w:sz w:val="22"/>
                    </w:rPr>
                  </w:pPr>
                  <w:proofErr w:type="spellStart"/>
                  <w:r w:rsidRPr="00AF223D">
                    <w:rPr>
                      <w:bCs/>
                      <w:sz w:val="22"/>
                    </w:rPr>
                    <w:t>Lopt_high</w:t>
                  </w:r>
                  <w:proofErr w:type="spellEnd"/>
                </w:p>
              </w:tc>
              <w:tc>
                <w:tcPr>
                  <w:tcW w:w="1308" w:type="dxa"/>
                </w:tcPr>
                <w:p w14:paraId="70E6A358" w14:textId="77777777" w:rsidR="003B41E9" w:rsidRPr="00AF223D" w:rsidRDefault="00000000">
                  <w:pPr>
                    <w:jc w:val="center"/>
                    <w:rPr>
                      <w:sz w:val="22"/>
                    </w:rPr>
                  </w:pPr>
                  <w:proofErr w:type="spellStart"/>
                  <w:r w:rsidRPr="00AF223D">
                    <w:rPr>
                      <w:bCs/>
                      <w:sz w:val="22"/>
                    </w:rPr>
                    <w:t>Lmax</w:t>
                  </w:r>
                  <w:proofErr w:type="spellEnd"/>
                </w:p>
              </w:tc>
              <w:tc>
                <w:tcPr>
                  <w:tcW w:w="1377" w:type="dxa"/>
                </w:tcPr>
                <w:p w14:paraId="5B154BE5" w14:textId="77777777" w:rsidR="003B41E9" w:rsidRPr="00AF223D" w:rsidRDefault="00000000">
                  <w:pPr>
                    <w:jc w:val="center"/>
                    <w:rPr>
                      <w:sz w:val="22"/>
                    </w:rPr>
                  </w:pPr>
                  <w:r w:rsidRPr="00AF223D">
                    <w:rPr>
                      <w:bCs/>
                      <w:sz w:val="22"/>
                    </w:rPr>
                    <w:t>Response type</w:t>
                  </w:r>
                </w:p>
              </w:tc>
            </w:tr>
            <w:tr w:rsidR="00AF223D" w:rsidRPr="00AF223D" w14:paraId="1ED2B59D" w14:textId="77777777">
              <w:tc>
                <w:tcPr>
                  <w:tcW w:w="1308" w:type="dxa"/>
                </w:tcPr>
                <w:p w14:paraId="30865A17" w14:textId="77777777" w:rsidR="003B41E9" w:rsidRPr="00AF223D" w:rsidRDefault="00000000">
                  <w:pPr>
                    <w:jc w:val="center"/>
                    <w:rPr>
                      <w:sz w:val="22"/>
                    </w:rPr>
                  </w:pPr>
                  <w:r w:rsidRPr="00AF223D">
                    <w:rPr>
                      <w:sz w:val="22"/>
                    </w:rPr>
                    <w:t>Na (</w:t>
                  </w:r>
                  <w:proofErr w:type="spellStart"/>
                  <w:r w:rsidRPr="00AF223D">
                    <w:rPr>
                      <w:sz w:val="22"/>
                    </w:rPr>
                    <w:t>cmol</w:t>
                  </w:r>
                  <w:proofErr w:type="spellEnd"/>
                  <w:r w:rsidRPr="00AF223D">
                    <w:rPr>
                      <w:sz w:val="22"/>
                    </w:rPr>
                    <w:t xml:space="preserve"> kg </w:t>
                  </w:r>
                  <w:r w:rsidRPr="00AF223D">
                    <w:rPr>
                      <w:sz w:val="22"/>
                      <w:vertAlign w:val="superscript"/>
                    </w:rPr>
                    <w:t>-1</w:t>
                  </w:r>
                  <w:r w:rsidRPr="00AF223D">
                    <w:rPr>
                      <w:sz w:val="22"/>
                    </w:rPr>
                    <w:t>)</w:t>
                  </w:r>
                </w:p>
              </w:tc>
              <w:tc>
                <w:tcPr>
                  <w:tcW w:w="1308" w:type="dxa"/>
                </w:tcPr>
                <w:p w14:paraId="2D3AFF8B" w14:textId="77777777" w:rsidR="003B41E9" w:rsidRPr="00AF223D" w:rsidRDefault="00000000">
                  <w:pPr>
                    <w:jc w:val="center"/>
                    <w:rPr>
                      <w:sz w:val="22"/>
                    </w:rPr>
                  </w:pPr>
                  <w:r w:rsidRPr="00AF223D">
                    <w:rPr>
                      <w:sz w:val="22"/>
                    </w:rPr>
                    <w:t>0.5</w:t>
                  </w:r>
                </w:p>
              </w:tc>
              <w:tc>
                <w:tcPr>
                  <w:tcW w:w="1308" w:type="dxa"/>
                </w:tcPr>
                <w:p w14:paraId="4B6A5382" w14:textId="77777777" w:rsidR="003B41E9" w:rsidRPr="00AF223D" w:rsidRDefault="00000000">
                  <w:pPr>
                    <w:jc w:val="center"/>
                    <w:rPr>
                      <w:sz w:val="22"/>
                    </w:rPr>
                  </w:pPr>
                  <w:r w:rsidRPr="00AF223D">
                    <w:rPr>
                      <w:sz w:val="22"/>
                    </w:rPr>
                    <w:t>—</w:t>
                  </w:r>
                </w:p>
              </w:tc>
              <w:tc>
                <w:tcPr>
                  <w:tcW w:w="1308" w:type="dxa"/>
                </w:tcPr>
                <w:p w14:paraId="49127E2A" w14:textId="77777777" w:rsidR="003B41E9" w:rsidRPr="00AF223D" w:rsidRDefault="00000000">
                  <w:pPr>
                    <w:jc w:val="center"/>
                    <w:rPr>
                      <w:sz w:val="22"/>
                    </w:rPr>
                  </w:pPr>
                  <w:r w:rsidRPr="00AF223D">
                    <w:rPr>
                      <w:sz w:val="22"/>
                    </w:rPr>
                    <w:t>—</w:t>
                  </w:r>
                </w:p>
              </w:tc>
              <w:tc>
                <w:tcPr>
                  <w:tcW w:w="1308" w:type="dxa"/>
                </w:tcPr>
                <w:p w14:paraId="657EE639" w14:textId="77777777" w:rsidR="003B41E9" w:rsidRPr="00AF223D" w:rsidRDefault="00000000">
                  <w:pPr>
                    <w:jc w:val="center"/>
                    <w:rPr>
                      <w:sz w:val="22"/>
                    </w:rPr>
                  </w:pPr>
                  <w:r w:rsidRPr="00AF223D">
                    <w:rPr>
                      <w:sz w:val="22"/>
                    </w:rPr>
                    <w:t>1</w:t>
                  </w:r>
                </w:p>
              </w:tc>
              <w:tc>
                <w:tcPr>
                  <w:tcW w:w="1377" w:type="dxa"/>
                </w:tcPr>
                <w:p w14:paraId="50531829" w14:textId="77777777" w:rsidR="003B41E9" w:rsidRPr="00AF223D" w:rsidRDefault="00000000">
                  <w:pPr>
                    <w:jc w:val="center"/>
                    <w:rPr>
                      <w:sz w:val="22"/>
                    </w:rPr>
                  </w:pPr>
                  <w:r w:rsidRPr="00AF223D">
                    <w:rPr>
                      <w:sz w:val="22"/>
                    </w:rPr>
                    <w:t>Less is better</w:t>
                  </w:r>
                </w:p>
              </w:tc>
            </w:tr>
            <w:tr w:rsidR="00AF223D" w:rsidRPr="00AF223D" w14:paraId="7BB20CFA" w14:textId="77777777">
              <w:tc>
                <w:tcPr>
                  <w:tcW w:w="1308" w:type="dxa"/>
                </w:tcPr>
                <w:p w14:paraId="148DFDE9" w14:textId="77777777" w:rsidR="003B41E9" w:rsidRPr="00AF223D" w:rsidRDefault="00000000">
                  <w:pPr>
                    <w:jc w:val="center"/>
                    <w:rPr>
                      <w:sz w:val="22"/>
                    </w:rPr>
                  </w:pPr>
                  <w:r w:rsidRPr="00AF223D">
                    <w:rPr>
                      <w:sz w:val="22"/>
                    </w:rPr>
                    <w:t>Clay (%)</w:t>
                  </w:r>
                </w:p>
              </w:tc>
              <w:tc>
                <w:tcPr>
                  <w:tcW w:w="1308" w:type="dxa"/>
                </w:tcPr>
                <w:p w14:paraId="26529E20" w14:textId="77777777" w:rsidR="003B41E9" w:rsidRPr="00AF223D" w:rsidRDefault="00000000">
                  <w:pPr>
                    <w:jc w:val="center"/>
                    <w:rPr>
                      <w:sz w:val="22"/>
                    </w:rPr>
                  </w:pPr>
                  <w:r w:rsidRPr="00AF223D">
                    <w:rPr>
                      <w:sz w:val="22"/>
                    </w:rPr>
                    <w:t>10</w:t>
                  </w:r>
                </w:p>
              </w:tc>
              <w:tc>
                <w:tcPr>
                  <w:tcW w:w="1308" w:type="dxa"/>
                </w:tcPr>
                <w:p w14:paraId="4A88FA3B" w14:textId="77777777" w:rsidR="003B41E9" w:rsidRPr="00AF223D" w:rsidRDefault="00000000">
                  <w:pPr>
                    <w:jc w:val="center"/>
                    <w:rPr>
                      <w:sz w:val="22"/>
                    </w:rPr>
                  </w:pPr>
                  <w:r w:rsidRPr="00AF223D">
                    <w:rPr>
                      <w:sz w:val="22"/>
                    </w:rPr>
                    <w:t>20</w:t>
                  </w:r>
                </w:p>
              </w:tc>
              <w:tc>
                <w:tcPr>
                  <w:tcW w:w="1308" w:type="dxa"/>
                </w:tcPr>
                <w:p w14:paraId="03F483A7" w14:textId="77777777" w:rsidR="003B41E9" w:rsidRPr="00AF223D" w:rsidRDefault="00000000">
                  <w:pPr>
                    <w:jc w:val="center"/>
                    <w:rPr>
                      <w:sz w:val="22"/>
                    </w:rPr>
                  </w:pPr>
                  <w:r w:rsidRPr="00AF223D">
                    <w:rPr>
                      <w:sz w:val="22"/>
                    </w:rPr>
                    <w:t>50</w:t>
                  </w:r>
                </w:p>
              </w:tc>
              <w:tc>
                <w:tcPr>
                  <w:tcW w:w="1308" w:type="dxa"/>
                </w:tcPr>
                <w:p w14:paraId="566B4574" w14:textId="77777777" w:rsidR="003B41E9" w:rsidRPr="00AF223D" w:rsidRDefault="00000000">
                  <w:pPr>
                    <w:jc w:val="center"/>
                    <w:rPr>
                      <w:sz w:val="22"/>
                    </w:rPr>
                  </w:pPr>
                  <w:r w:rsidRPr="00AF223D">
                    <w:rPr>
                      <w:sz w:val="22"/>
                    </w:rPr>
                    <w:t>60</w:t>
                  </w:r>
                </w:p>
              </w:tc>
              <w:tc>
                <w:tcPr>
                  <w:tcW w:w="1377" w:type="dxa"/>
                </w:tcPr>
                <w:p w14:paraId="6C545E49" w14:textId="77777777" w:rsidR="003B41E9" w:rsidRPr="00AF223D" w:rsidRDefault="00000000">
                  <w:pPr>
                    <w:jc w:val="center"/>
                    <w:rPr>
                      <w:sz w:val="22"/>
                    </w:rPr>
                  </w:pPr>
                  <w:r w:rsidRPr="00AF223D">
                    <w:rPr>
                      <w:sz w:val="22"/>
                    </w:rPr>
                    <w:t>Optimal range</w:t>
                  </w:r>
                </w:p>
              </w:tc>
            </w:tr>
            <w:tr w:rsidR="00AF223D" w:rsidRPr="00AF223D" w14:paraId="3D6F1A29" w14:textId="77777777">
              <w:tc>
                <w:tcPr>
                  <w:tcW w:w="1308" w:type="dxa"/>
                </w:tcPr>
                <w:p w14:paraId="78A8D9C3" w14:textId="77777777" w:rsidR="003B41E9" w:rsidRPr="00AF223D" w:rsidRDefault="00000000">
                  <w:pPr>
                    <w:jc w:val="center"/>
                    <w:rPr>
                      <w:sz w:val="22"/>
                    </w:rPr>
                  </w:pPr>
                  <w:r w:rsidRPr="00AF223D">
                    <w:rPr>
                      <w:sz w:val="22"/>
                    </w:rPr>
                    <w:t>pH</w:t>
                  </w:r>
                </w:p>
              </w:tc>
              <w:tc>
                <w:tcPr>
                  <w:tcW w:w="1308" w:type="dxa"/>
                </w:tcPr>
                <w:p w14:paraId="00B7134B" w14:textId="77777777" w:rsidR="003B41E9" w:rsidRPr="00AF223D" w:rsidRDefault="00000000">
                  <w:pPr>
                    <w:jc w:val="center"/>
                    <w:rPr>
                      <w:sz w:val="22"/>
                    </w:rPr>
                  </w:pPr>
                  <w:r w:rsidRPr="00AF223D">
                    <w:rPr>
                      <w:sz w:val="22"/>
                    </w:rPr>
                    <w:t>5</w:t>
                  </w:r>
                </w:p>
              </w:tc>
              <w:tc>
                <w:tcPr>
                  <w:tcW w:w="1308" w:type="dxa"/>
                </w:tcPr>
                <w:p w14:paraId="0A6BC4B2" w14:textId="77777777" w:rsidR="003B41E9" w:rsidRPr="00AF223D" w:rsidRDefault="00000000">
                  <w:pPr>
                    <w:jc w:val="center"/>
                    <w:rPr>
                      <w:sz w:val="22"/>
                    </w:rPr>
                  </w:pPr>
                  <w:r w:rsidRPr="00AF223D">
                    <w:rPr>
                      <w:sz w:val="22"/>
                    </w:rPr>
                    <w:t>5.8</w:t>
                  </w:r>
                </w:p>
              </w:tc>
              <w:tc>
                <w:tcPr>
                  <w:tcW w:w="1308" w:type="dxa"/>
                </w:tcPr>
                <w:p w14:paraId="636586BA" w14:textId="77777777" w:rsidR="003B41E9" w:rsidRPr="00AF223D" w:rsidRDefault="00000000">
                  <w:pPr>
                    <w:jc w:val="center"/>
                    <w:rPr>
                      <w:sz w:val="22"/>
                    </w:rPr>
                  </w:pPr>
                  <w:r w:rsidRPr="00AF223D">
                    <w:rPr>
                      <w:sz w:val="22"/>
                    </w:rPr>
                    <w:t>7.0</w:t>
                  </w:r>
                </w:p>
              </w:tc>
              <w:tc>
                <w:tcPr>
                  <w:tcW w:w="1308" w:type="dxa"/>
                </w:tcPr>
                <w:p w14:paraId="48EE7D67" w14:textId="77777777" w:rsidR="003B41E9" w:rsidRPr="00AF223D" w:rsidRDefault="00000000">
                  <w:pPr>
                    <w:jc w:val="center"/>
                    <w:rPr>
                      <w:sz w:val="22"/>
                    </w:rPr>
                  </w:pPr>
                  <w:r w:rsidRPr="00AF223D">
                    <w:rPr>
                      <w:sz w:val="22"/>
                    </w:rPr>
                    <w:t>8.0</w:t>
                  </w:r>
                </w:p>
              </w:tc>
              <w:tc>
                <w:tcPr>
                  <w:tcW w:w="1377" w:type="dxa"/>
                </w:tcPr>
                <w:p w14:paraId="004DA2E7" w14:textId="77777777" w:rsidR="003B41E9" w:rsidRPr="00AF223D" w:rsidRDefault="00000000">
                  <w:pPr>
                    <w:jc w:val="center"/>
                    <w:rPr>
                      <w:sz w:val="22"/>
                    </w:rPr>
                  </w:pPr>
                  <w:r w:rsidRPr="00AF223D">
                    <w:rPr>
                      <w:sz w:val="22"/>
                    </w:rPr>
                    <w:t>Optimal range</w:t>
                  </w:r>
                </w:p>
              </w:tc>
            </w:tr>
            <w:tr w:rsidR="00AF223D" w:rsidRPr="00AF223D" w14:paraId="636EC3DC" w14:textId="77777777">
              <w:tc>
                <w:tcPr>
                  <w:tcW w:w="1308" w:type="dxa"/>
                </w:tcPr>
                <w:p w14:paraId="6A4B711B" w14:textId="77777777" w:rsidR="003B41E9" w:rsidRPr="00AF223D" w:rsidRDefault="00000000">
                  <w:pPr>
                    <w:jc w:val="center"/>
                    <w:rPr>
                      <w:sz w:val="22"/>
                    </w:rPr>
                  </w:pPr>
                  <w:r w:rsidRPr="00AF223D">
                    <w:rPr>
                      <w:sz w:val="22"/>
                    </w:rPr>
                    <w:t>Ca (</w:t>
                  </w:r>
                  <w:proofErr w:type="spellStart"/>
                  <w:r w:rsidRPr="00AF223D">
                    <w:rPr>
                      <w:sz w:val="22"/>
                    </w:rPr>
                    <w:t>cmol</w:t>
                  </w:r>
                  <w:proofErr w:type="spellEnd"/>
                  <w:r w:rsidRPr="00AF223D">
                    <w:rPr>
                      <w:sz w:val="22"/>
                    </w:rPr>
                    <w:t xml:space="preserve"> kg </w:t>
                  </w:r>
                  <w:r w:rsidRPr="00AF223D">
                    <w:rPr>
                      <w:sz w:val="22"/>
                      <w:vertAlign w:val="superscript"/>
                    </w:rPr>
                    <w:t>-1</w:t>
                  </w:r>
                  <w:r w:rsidRPr="00AF223D">
                    <w:rPr>
                      <w:sz w:val="22"/>
                    </w:rPr>
                    <w:t>)</w:t>
                  </w:r>
                </w:p>
              </w:tc>
              <w:tc>
                <w:tcPr>
                  <w:tcW w:w="1308" w:type="dxa"/>
                </w:tcPr>
                <w:p w14:paraId="6B3F1BB5" w14:textId="77777777" w:rsidR="003B41E9" w:rsidRPr="00AF223D" w:rsidRDefault="00000000">
                  <w:pPr>
                    <w:jc w:val="center"/>
                    <w:rPr>
                      <w:sz w:val="22"/>
                    </w:rPr>
                  </w:pPr>
                  <w:r w:rsidRPr="00AF223D">
                    <w:rPr>
                      <w:sz w:val="22"/>
                    </w:rPr>
                    <w:t>10</w:t>
                  </w:r>
                </w:p>
              </w:tc>
              <w:tc>
                <w:tcPr>
                  <w:tcW w:w="1308" w:type="dxa"/>
                </w:tcPr>
                <w:p w14:paraId="6F16D51A" w14:textId="77777777" w:rsidR="003B41E9" w:rsidRPr="00AF223D" w:rsidRDefault="00000000">
                  <w:pPr>
                    <w:jc w:val="center"/>
                    <w:rPr>
                      <w:sz w:val="22"/>
                    </w:rPr>
                  </w:pPr>
                  <w:r w:rsidRPr="00AF223D">
                    <w:rPr>
                      <w:sz w:val="22"/>
                    </w:rPr>
                    <w:t>—</w:t>
                  </w:r>
                </w:p>
              </w:tc>
              <w:tc>
                <w:tcPr>
                  <w:tcW w:w="1308" w:type="dxa"/>
                </w:tcPr>
                <w:p w14:paraId="59FA4B71" w14:textId="77777777" w:rsidR="003B41E9" w:rsidRPr="00AF223D" w:rsidRDefault="00000000">
                  <w:pPr>
                    <w:jc w:val="center"/>
                    <w:rPr>
                      <w:sz w:val="22"/>
                    </w:rPr>
                  </w:pPr>
                  <w:r w:rsidRPr="00AF223D">
                    <w:rPr>
                      <w:sz w:val="22"/>
                    </w:rPr>
                    <w:t>—</w:t>
                  </w:r>
                </w:p>
              </w:tc>
              <w:tc>
                <w:tcPr>
                  <w:tcW w:w="1308" w:type="dxa"/>
                </w:tcPr>
                <w:p w14:paraId="722D17C6" w14:textId="77777777" w:rsidR="003B41E9" w:rsidRPr="00AF223D" w:rsidRDefault="00000000">
                  <w:pPr>
                    <w:jc w:val="center"/>
                    <w:rPr>
                      <w:sz w:val="22"/>
                    </w:rPr>
                  </w:pPr>
                  <w:r w:rsidRPr="00AF223D">
                    <w:rPr>
                      <w:sz w:val="22"/>
                    </w:rPr>
                    <w:t>20</w:t>
                  </w:r>
                </w:p>
              </w:tc>
              <w:tc>
                <w:tcPr>
                  <w:tcW w:w="1377" w:type="dxa"/>
                </w:tcPr>
                <w:p w14:paraId="46F5EC15" w14:textId="77777777" w:rsidR="003B41E9" w:rsidRPr="00AF223D" w:rsidRDefault="00000000">
                  <w:pPr>
                    <w:jc w:val="center"/>
                    <w:rPr>
                      <w:sz w:val="22"/>
                    </w:rPr>
                  </w:pPr>
                  <w:r w:rsidRPr="00AF223D">
                    <w:rPr>
                      <w:sz w:val="22"/>
                    </w:rPr>
                    <w:t>More is better</w:t>
                  </w:r>
                </w:p>
              </w:tc>
            </w:tr>
            <w:bookmarkEnd w:id="11"/>
          </w:tbl>
          <w:p w14:paraId="2B5CADC8" w14:textId="77777777" w:rsidR="003B41E9" w:rsidRPr="00AF223D" w:rsidRDefault="003B41E9">
            <w:pPr>
              <w:rPr>
                <w:sz w:val="22"/>
              </w:rPr>
            </w:pPr>
          </w:p>
        </w:tc>
      </w:tr>
    </w:tbl>
    <w:p w14:paraId="4C554520" w14:textId="77777777" w:rsidR="00C9712A" w:rsidRPr="00AF223D" w:rsidRDefault="00C9712A" w:rsidP="00C9712A">
      <w:bookmarkStart w:id="12" w:name="X909d8f36461826f35ef7b187a538668ffdf7ee5"/>
      <w:bookmarkEnd w:id="10"/>
    </w:p>
    <w:p w14:paraId="5F17BBA7" w14:textId="08F8D021" w:rsidR="003B41E9" w:rsidRPr="00AF223D" w:rsidRDefault="00000000">
      <w:pPr>
        <w:pStyle w:val="Ttulo3"/>
        <w:rPr>
          <w:sz w:val="22"/>
          <w:szCs w:val="22"/>
        </w:rPr>
      </w:pPr>
      <w:r w:rsidRPr="00AF223D">
        <w:rPr>
          <w:bCs/>
          <w:sz w:val="22"/>
          <w:szCs w:val="22"/>
        </w:rPr>
        <w:t>Calculation of the weighted soil quality index (</w:t>
      </w:r>
      <w:proofErr w:type="spellStart"/>
      <w:r w:rsidRPr="00AF223D">
        <w:rPr>
          <w:bCs/>
          <w:sz w:val="22"/>
          <w:szCs w:val="22"/>
        </w:rPr>
        <w:t>SQIw</w:t>
      </w:r>
      <w:proofErr w:type="spellEnd"/>
      <w:r w:rsidRPr="00AF223D">
        <w:rPr>
          <w:bCs/>
          <w:sz w:val="22"/>
          <w:szCs w:val="22"/>
        </w:rPr>
        <w:t>)</w:t>
      </w:r>
    </w:p>
    <w:p w14:paraId="2C86DCFF" w14:textId="77777777" w:rsidR="003B41E9" w:rsidRPr="00AF223D" w:rsidRDefault="00000000">
      <w:pPr>
        <w:rPr>
          <w:sz w:val="22"/>
        </w:rPr>
      </w:pPr>
      <w:r w:rsidRPr="00AF223D">
        <w:rPr>
          <w:sz w:val="22"/>
        </w:rPr>
        <w:t xml:space="preserve">The </w:t>
      </w:r>
      <w:proofErr w:type="spellStart"/>
      <w:r w:rsidRPr="00AF223D">
        <w:rPr>
          <w:sz w:val="22"/>
        </w:rPr>
        <w:t>SQIw</w:t>
      </w:r>
      <w:proofErr w:type="spellEnd"/>
      <w:r w:rsidRPr="00AF223D">
        <w:rPr>
          <w:sz w:val="22"/>
        </w:rPr>
        <w:t xml:space="preserve"> was calculated by linearly combining the normalized values (Nᵢ) of the selected indicators, weighted according to their relative contributions (Wᵢ) derived from the PCA. The index was computed following the expression:</w:t>
      </w:r>
    </w:p>
    <w:p w14:paraId="4CD8E89F" w14:textId="77777777" w:rsidR="003B41E9" w:rsidRPr="00AF223D" w:rsidRDefault="00000000">
      <w:pPr>
        <w:rPr>
          <w:sz w:val="22"/>
        </w:rPr>
      </w:pPr>
      <m:oMathPara>
        <m:oMath>
          <m:r>
            <w:rPr>
              <w:rFonts w:ascii="Cambria Math" w:hAnsi="Cambria Math"/>
              <w:sz w:val="22"/>
            </w:rPr>
            <m:t>SQIW</m:t>
          </m:r>
          <m:r>
            <m:rPr>
              <m:sty m:val="p"/>
            </m:rPr>
            <w:rPr>
              <w:rFonts w:ascii="Cambria Math" w:hAnsi="Cambria Math"/>
              <w:sz w:val="22"/>
            </w:rPr>
            <m:t>=</m:t>
          </m:r>
          <m:nary>
            <m:naryPr>
              <m:chr m:val="∑"/>
              <m:limLoc m:val="undOvr"/>
              <m:ctrlPr>
                <w:rPr>
                  <w:rFonts w:ascii="Cambria Math" w:hAnsi="Cambria Math"/>
                  <w:sz w:val="22"/>
                </w:rPr>
              </m:ctrlPr>
            </m:naryPr>
            <m:sub>
              <m:r>
                <w:rPr>
                  <w:rFonts w:ascii="Cambria Math" w:hAnsi="Cambria Math"/>
                  <w:sz w:val="22"/>
                </w:rPr>
                <m:t>i</m:t>
              </m:r>
              <m:r>
                <m:rPr>
                  <m:sty m:val="p"/>
                </m:rPr>
                <w:rPr>
                  <w:rFonts w:ascii="Cambria Math" w:hAnsi="Cambria Math"/>
                  <w:sz w:val="22"/>
                </w:rPr>
                <m:t>=</m:t>
              </m:r>
              <m:r>
                <w:rPr>
                  <w:rFonts w:ascii="Cambria Math" w:hAnsi="Cambria Math"/>
                  <w:sz w:val="22"/>
                </w:rPr>
                <m:t>1</m:t>
              </m:r>
            </m:sub>
            <m:sup>
              <m:r>
                <w:rPr>
                  <w:rFonts w:ascii="Cambria Math" w:hAnsi="Cambria Math"/>
                  <w:sz w:val="22"/>
                </w:rPr>
                <m:t>n</m:t>
              </m:r>
            </m:sup>
            <m:e>
              <m:d>
                <m:dPr>
                  <m:ctrlPr>
                    <w:rPr>
                      <w:rFonts w:ascii="Cambria Math" w:hAnsi="Cambria Math"/>
                      <w:sz w:val="22"/>
                    </w:rPr>
                  </m:ctrlPr>
                </m:dPr>
                <m:e>
                  <m:sSub>
                    <m:sSubPr>
                      <m:ctrlPr>
                        <w:rPr>
                          <w:rFonts w:ascii="Cambria Math" w:hAnsi="Cambria Math"/>
                          <w:sz w:val="22"/>
                        </w:rPr>
                      </m:ctrlPr>
                    </m:sSubPr>
                    <m:e>
                      <m:r>
                        <w:rPr>
                          <w:rFonts w:ascii="Cambria Math" w:hAnsi="Cambria Math"/>
                          <w:sz w:val="22"/>
                        </w:rPr>
                        <m:t>W</m:t>
                      </m:r>
                    </m:e>
                    <m:sub>
                      <m:r>
                        <w:rPr>
                          <w:rFonts w:ascii="Cambria Math" w:hAnsi="Cambria Math"/>
                          <w:sz w:val="22"/>
                        </w:rPr>
                        <m:t>i</m:t>
                      </m:r>
                    </m:sub>
                  </m:sSub>
                  <m:sSub>
                    <m:sSubPr>
                      <m:ctrlPr>
                        <w:rPr>
                          <w:rFonts w:ascii="Cambria Math" w:hAnsi="Cambria Math"/>
                          <w:sz w:val="22"/>
                        </w:rPr>
                      </m:ctrlPr>
                    </m:sSubPr>
                    <m:e>
                      <m:r>
                        <w:rPr>
                          <w:rFonts w:ascii="Cambria Math" w:hAnsi="Cambria Math"/>
                          <w:sz w:val="22"/>
                        </w:rPr>
                        <m:t>N</m:t>
                      </m:r>
                    </m:e>
                    <m:sub>
                      <m:r>
                        <w:rPr>
                          <w:rFonts w:ascii="Cambria Math" w:hAnsi="Cambria Math"/>
                          <w:sz w:val="22"/>
                        </w:rPr>
                        <m:t>i</m:t>
                      </m:r>
                    </m:sub>
                  </m:sSub>
                </m:e>
              </m:d>
            </m:e>
          </m:nary>
        </m:oMath>
      </m:oMathPara>
    </w:p>
    <w:p w14:paraId="3860E844" w14:textId="77777777" w:rsidR="003B41E9" w:rsidRPr="00AF223D" w:rsidRDefault="00000000">
      <w:pPr>
        <w:rPr>
          <w:sz w:val="22"/>
        </w:rPr>
      </w:pPr>
      <w:r w:rsidRPr="00AF223D">
        <w:rPr>
          <w:sz w:val="22"/>
        </w:rPr>
        <w:t>Classified as very low (&lt; 0.3), low (0.3–0.5), moderate (0.5–0.6), high (0.6–0.7), and very high (&gt; 0.7).</w:t>
      </w:r>
    </w:p>
    <w:p w14:paraId="78BB3DA2" w14:textId="77777777" w:rsidR="003B41E9" w:rsidRPr="00AF223D" w:rsidRDefault="00000000">
      <w:pPr>
        <w:pStyle w:val="Ttulo2"/>
        <w:rPr>
          <w:sz w:val="22"/>
          <w:szCs w:val="22"/>
        </w:rPr>
      </w:pPr>
      <w:bookmarkStart w:id="13" w:name="Xe802fd855d28204830f76e6fc116d1aea822312"/>
      <w:bookmarkEnd w:id="7"/>
      <w:bookmarkEnd w:id="12"/>
      <w:r w:rsidRPr="00AF223D">
        <w:rPr>
          <w:sz w:val="22"/>
          <w:szCs w:val="22"/>
        </w:rPr>
        <w:t xml:space="preserve">Non-parametric comparative analysis of </w:t>
      </w:r>
      <w:proofErr w:type="spellStart"/>
      <w:r w:rsidRPr="00AF223D">
        <w:rPr>
          <w:sz w:val="22"/>
          <w:szCs w:val="22"/>
        </w:rPr>
        <w:t>SQIw</w:t>
      </w:r>
      <w:proofErr w:type="spellEnd"/>
      <w:r w:rsidRPr="00AF223D">
        <w:rPr>
          <w:sz w:val="22"/>
          <w:szCs w:val="22"/>
        </w:rPr>
        <w:t xml:space="preserve"> across different climate types and categories of saline and sodic soils.</w:t>
      </w:r>
    </w:p>
    <w:p w14:paraId="42387440" w14:textId="143ED500" w:rsidR="00012A75" w:rsidRPr="00AF223D" w:rsidRDefault="00000000">
      <w:pPr>
        <w:rPr>
          <w:sz w:val="22"/>
        </w:rPr>
      </w:pPr>
      <w:proofErr w:type="spellStart"/>
      <w:r w:rsidRPr="00AF223D">
        <w:rPr>
          <w:sz w:val="22"/>
        </w:rPr>
        <w:t>SQIw</w:t>
      </w:r>
      <w:proofErr w:type="spellEnd"/>
      <w:r w:rsidRPr="00AF223D">
        <w:rPr>
          <w:sz w:val="22"/>
        </w:rPr>
        <w:t xml:space="preserve"> behavior was evaluated across the climate types of the study area, classified according to SENHAMI, and across </w:t>
      </w:r>
      <w:proofErr w:type="spellStart"/>
      <w:r w:rsidRPr="00AF223D">
        <w:rPr>
          <w:sz w:val="22"/>
        </w:rPr>
        <w:t>salinic</w:t>
      </w:r>
      <w:proofErr w:type="spellEnd"/>
      <w:r w:rsidRPr="00AF223D">
        <w:rPr>
          <w:sz w:val="22"/>
        </w:rPr>
        <w:t>–sodic soil types following</w:t>
      </w:r>
      <w:r w:rsidR="00B35DFF">
        <w:rPr>
          <w:sz w:val="22"/>
        </w:rPr>
        <w:t xml:space="preserve"> </w:t>
      </w:r>
      <w:r w:rsidR="00B35DFF">
        <w:rPr>
          <w:sz w:val="22"/>
        </w:rPr>
        <w:fldChar w:fldCharType="begin"/>
      </w:r>
      <w:r w:rsidR="00B35DFF">
        <w:rPr>
          <w:sz w:val="22"/>
        </w:rPr>
        <w:instrText xml:space="preserve"> ADDIN ZOTERO_ITEM CSL_CITATION {"citationID":"otTsciDd","properties":{"unsorted":false,"formattedCitation":"(Rengasamy, 2016)","plainCitation":"(Rengasamy, 2016)","noteIndex":0},"citationItems":[{"id":697,"uris":["http://zotero.org/users/14068823/items/I4PLJ849"],"itemData":{"id":697,"type":"article-journal","abstract":"The yield response of various crops to salinity under field conditions is affected by soil processes and environmental conditions. The composition of dissolved ions depend on soil chemical processes such as cation or anion exchange, oxidation-reduction reactions, ion adsorption, chemical speciation, complex formation, mineral weathering, solubility, and precipitation. The nature of cations and anions determine soil pH, which in turn affects crop growth. While the ionic composition of soil solution determine the osmotic and ion specific effects on crops, the exchangeable ions indirectly affect the crop growth by influencing soil strength, water and air movement, waterlogging, and soil crusting. This review mainly focuses on the soil chemistry processes that frustrate crop salinity tolerance which partly explain the poor results under field conditions of salt tolerant genotypes selected in the laboratory.","container-title":"Agronomy","DOI":"10.3390/agronomy6040053","ISSN":"2073-4395","issue":"4","language":"en","license":"http://creativecommons.org/licenses/by/3.0/","page":"53","publisher":"Multidisciplinary Digital Publishing Institute","source":"www.mdpi.com","title":"Soil Chemistry Factors Confounding Crop Salinity Tolerance—A Review","volume":"6","author":[{"family":"Rengasamy","given":"Pichu"}],"issued":{"date-parts":[["2016",12]]}}}],"schema":"https://github.com/citation-style-language/schema/raw/master/csl-citation.json"} </w:instrText>
      </w:r>
      <w:r w:rsidR="00B35DFF">
        <w:rPr>
          <w:sz w:val="22"/>
        </w:rPr>
        <w:fldChar w:fldCharType="separate"/>
      </w:r>
      <w:r w:rsidR="00B35DFF" w:rsidRPr="00B35DFF">
        <w:rPr>
          <w:rFonts w:cs="Times New Roman"/>
          <w:sz w:val="22"/>
        </w:rPr>
        <w:t xml:space="preserve">Rengasamy </w:t>
      </w:r>
      <w:r w:rsidR="00B35DFF">
        <w:rPr>
          <w:rFonts w:cs="Times New Roman"/>
          <w:sz w:val="22"/>
        </w:rPr>
        <w:t>(</w:t>
      </w:r>
      <w:r w:rsidR="00B35DFF" w:rsidRPr="00B35DFF">
        <w:rPr>
          <w:rFonts w:cs="Times New Roman"/>
          <w:sz w:val="22"/>
        </w:rPr>
        <w:t>2016)</w:t>
      </w:r>
      <w:r w:rsidR="00B35DFF">
        <w:rPr>
          <w:sz w:val="22"/>
        </w:rPr>
        <w:fldChar w:fldCharType="end"/>
      </w:r>
      <w:r w:rsidRPr="00AF223D">
        <w:rPr>
          <w:sz w:val="22"/>
        </w:rPr>
        <w:t>. Because the variables deviated from normality, non-parametric methods were employed: the Kruskal–</w:t>
      </w:r>
      <w:proofErr w:type="gramStart"/>
      <w:r w:rsidRPr="00AF223D">
        <w:rPr>
          <w:sz w:val="22"/>
        </w:rPr>
        <w:t>Wallis</w:t>
      </w:r>
      <w:proofErr w:type="gramEnd"/>
      <w:r w:rsidRPr="00AF223D">
        <w:rPr>
          <w:sz w:val="22"/>
        </w:rPr>
        <w:t xml:space="preserve"> test was used to detect overall differences among groups, and when significant (p &lt; 0.05), pairwise comparisons were conducted using Dunn’s test with Bonferroni correction to control for multiple comparisons.</w:t>
      </w:r>
    </w:p>
    <w:p w14:paraId="1AE11D07" w14:textId="77777777" w:rsidR="00012A75" w:rsidRPr="00AF223D" w:rsidRDefault="00012A75">
      <w:pPr>
        <w:spacing w:before="0" w:after="200" w:line="276" w:lineRule="auto"/>
        <w:jc w:val="left"/>
        <w:rPr>
          <w:sz w:val="22"/>
        </w:rPr>
      </w:pPr>
      <w:r w:rsidRPr="00AF223D">
        <w:rPr>
          <w:sz w:val="22"/>
        </w:rPr>
        <w:br w:type="page"/>
      </w:r>
    </w:p>
    <w:p w14:paraId="0AD09398" w14:textId="77777777" w:rsidR="003B41E9" w:rsidRPr="00AF223D" w:rsidRDefault="00000000">
      <w:pPr>
        <w:pStyle w:val="Ttulo2"/>
        <w:rPr>
          <w:sz w:val="22"/>
          <w:szCs w:val="22"/>
        </w:rPr>
      </w:pPr>
      <w:bookmarkStart w:id="14" w:name="X4209cfedcbb0d670474472bafe924f93b991eb7"/>
      <w:bookmarkEnd w:id="13"/>
      <w:r w:rsidRPr="00AF223D">
        <w:rPr>
          <w:sz w:val="22"/>
          <w:szCs w:val="22"/>
        </w:rPr>
        <w:lastRenderedPageBreak/>
        <w:t>Machine Learning–Geostatistical Spatial Prediction</w:t>
      </w:r>
    </w:p>
    <w:p w14:paraId="7EBAE79C" w14:textId="77777777" w:rsidR="003B41E9" w:rsidRPr="00AF223D" w:rsidRDefault="00000000">
      <w:pPr>
        <w:pStyle w:val="Ttulo3"/>
        <w:rPr>
          <w:sz w:val="22"/>
          <w:szCs w:val="22"/>
        </w:rPr>
      </w:pPr>
      <w:bookmarkStart w:id="15" w:name="evaluated-models"/>
      <w:r w:rsidRPr="00AF223D">
        <w:rPr>
          <w:bCs/>
          <w:sz w:val="22"/>
          <w:szCs w:val="22"/>
        </w:rPr>
        <w:t>Evaluated models</w:t>
      </w:r>
    </w:p>
    <w:p w14:paraId="6354511E" w14:textId="771BD2A0" w:rsidR="003B41E9" w:rsidRPr="00AF223D" w:rsidRDefault="00000000">
      <w:pPr>
        <w:rPr>
          <w:sz w:val="22"/>
        </w:rPr>
      </w:pPr>
      <w:r w:rsidRPr="00AF223D">
        <w:rPr>
          <w:sz w:val="22"/>
        </w:rPr>
        <w:t>To model the spatial variability of the Soil Quality Index (</w:t>
      </w:r>
      <w:proofErr w:type="spellStart"/>
      <w:r w:rsidRPr="00AF223D">
        <w:rPr>
          <w:sz w:val="22"/>
        </w:rPr>
        <w:t>SQIw</w:t>
      </w:r>
      <w:proofErr w:type="spellEnd"/>
      <w:r w:rsidRPr="00AF223D">
        <w:rPr>
          <w:sz w:val="22"/>
        </w:rPr>
        <w:t>), a hybrid approach integrating machine learning and geostatistical techniques was implemented using Python software, version 3.14.3</w:t>
      </w:r>
      <w:r w:rsidR="00F92EEE">
        <w:rPr>
          <w:sz w:val="22"/>
        </w:rPr>
        <w:t xml:space="preserve"> </w:t>
      </w:r>
      <w:r w:rsidR="00F92EEE">
        <w:rPr>
          <w:sz w:val="22"/>
        </w:rPr>
        <w:fldChar w:fldCharType="begin"/>
      </w:r>
      <w:r w:rsidR="00F92EEE">
        <w:rPr>
          <w:sz w:val="22"/>
        </w:rPr>
        <w:instrText xml:space="preserve"> ADDIN ZOTERO_ITEM CSL_CITATION {"citationID":"OcBaIbUN","properties":{"unsorted":false,"formattedCitation":"(Python Software Foundation, 2026)","plainCitation":"(Python Software Foundation, 2026)","noteIndex":0},"citationItems":[{"id":572,"uris":["http://zotero.org/users/14068823/items/7NMQA5VU"],"itemData":{"id":572,"type":"software","abstract":"The official home of the Python Programming Language","title":"Python","URL":"https://www.python.org/","version":"3.14.3","author":[{"family":"Python Software Foundation","given":""}],"accessed":{"date-parts":[["2026",3,3]]},"issued":{"date-parts":[["2026",2,17]]}}}],"schema":"https://github.com/citation-style-language/schema/raw/master/csl-citation.json"} </w:instrText>
      </w:r>
      <w:r w:rsidR="00F92EEE">
        <w:rPr>
          <w:sz w:val="22"/>
        </w:rPr>
        <w:fldChar w:fldCharType="separate"/>
      </w:r>
      <w:r w:rsidR="00F92EEE" w:rsidRPr="00F92EEE">
        <w:rPr>
          <w:rFonts w:cs="Times New Roman"/>
          <w:sz w:val="22"/>
        </w:rPr>
        <w:t>(Python Software Foundation, 2026)</w:t>
      </w:r>
      <w:r w:rsidR="00F92EEE">
        <w:rPr>
          <w:sz w:val="22"/>
        </w:rPr>
        <w:fldChar w:fldCharType="end"/>
      </w:r>
      <w:r w:rsidRPr="00AF223D">
        <w:rPr>
          <w:sz w:val="22"/>
        </w:rPr>
        <w:t xml:space="preserve">. </w:t>
      </w:r>
      <w:r w:rsidR="00895706" w:rsidRPr="00397B1C">
        <w:rPr>
          <w:color w:val="EE0000"/>
          <w:sz w:val="22"/>
        </w:rPr>
        <w:t>Four</w:t>
      </w:r>
      <w:r w:rsidR="00895706" w:rsidRPr="00895706">
        <w:rPr>
          <w:sz w:val="22"/>
        </w:rPr>
        <w:t xml:space="preserve"> </w:t>
      </w:r>
      <w:r w:rsidRPr="00AF223D">
        <w:rPr>
          <w:sz w:val="22"/>
        </w:rPr>
        <w:t>predictive approaches were evaluated: ordinary kriging (OK), random forest (RF),</w:t>
      </w:r>
      <w:r w:rsidR="00895706">
        <w:rPr>
          <w:sz w:val="22"/>
        </w:rPr>
        <w:t xml:space="preserve"> </w:t>
      </w:r>
      <w:r w:rsidRPr="00AF223D">
        <w:rPr>
          <w:sz w:val="22"/>
        </w:rPr>
        <w:t>random forest with residual kriging (RF+RK)</w:t>
      </w:r>
      <w:r w:rsidR="00895706">
        <w:rPr>
          <w:sz w:val="22"/>
        </w:rPr>
        <w:t xml:space="preserve"> </w:t>
      </w:r>
      <w:r w:rsidR="00895706" w:rsidRPr="00397B1C">
        <w:rPr>
          <w:color w:val="EE0000"/>
          <w:sz w:val="22"/>
        </w:rPr>
        <w:t>and a reduced RF+RK model based on the most relevant predictors identified through permutation importance</w:t>
      </w:r>
      <w:r w:rsidRPr="00AF223D">
        <w:rPr>
          <w:sz w:val="22"/>
        </w:rPr>
        <w:t>. Ordinary kriging (OK) is a classical geostatistical method that models the target variable as a realization of a spatial stochastic process based on its autocorrelation structure</w:t>
      </w:r>
      <w:r w:rsidR="00F92EEE">
        <w:rPr>
          <w:sz w:val="22"/>
        </w:rPr>
        <w:t xml:space="preserve"> </w:t>
      </w:r>
      <w:r w:rsidR="00F92EEE">
        <w:rPr>
          <w:sz w:val="22"/>
        </w:rPr>
        <w:fldChar w:fldCharType="begin"/>
      </w:r>
      <w:r w:rsidR="00F92EEE">
        <w:rPr>
          <w:sz w:val="22"/>
        </w:rPr>
        <w:instrText xml:space="preserve"> ADDIN ZOTERO_ITEM CSL_CITATION {"citationID":"DwUFx4FN","properties":{"unsorted":false,"formattedCitation":"(Cressie, 1993)","plainCitation":"(Cressie, 1993)","noteIndex":0},"citationItems":[{"id":558,"uris":["http://zotero.org/users/14068823/items/RB8JYZHR"],"itemData":{"id":558,"type":"chapter","abstract":"This chapter contains sections titled: Scale of Variation Ordinary Kriging Robust Kriging Universal Kriging Median-Polish Kriging Geostatistical Data, Simulated and Real","container-title":"Statistics for Spatial Data","DOI":"10.1002/9781119115151.ch3","ISBN":"978-1-119-11515-1","language":"en","note":"section: 3\n_eprint: https://onlinelibrary.wiley.com/doi/pdf/10.1002/9781119115151.ch3\nDOI: 10.1002/9781119115151.ch3","page":"105-209","publisher":"John Wiley &amp; Sons, Ltd","source":"Wiley Online Library","title":"Spatial Prediction and Kriging","URL":"https://onlinelibrary.wiley.com/doi/abs/10.1002/9781119115151.ch3","author":[{"family":"Cressie","given":"Noel"}],"accessed":{"date-parts":[["2026",2,27]]},"issued":{"date-parts":[["1993"]]}}}],"schema":"https://github.com/citation-style-language/schema/raw/master/csl-citation.json"} </w:instrText>
      </w:r>
      <w:r w:rsidR="00F92EEE">
        <w:rPr>
          <w:sz w:val="22"/>
        </w:rPr>
        <w:fldChar w:fldCharType="separate"/>
      </w:r>
      <w:r w:rsidR="00F92EEE" w:rsidRPr="00F92EEE">
        <w:rPr>
          <w:rFonts w:cs="Times New Roman"/>
          <w:sz w:val="22"/>
        </w:rPr>
        <w:t>(Cressie, 1993)</w:t>
      </w:r>
      <w:r w:rsidR="00F92EEE">
        <w:rPr>
          <w:sz w:val="22"/>
        </w:rPr>
        <w:fldChar w:fldCharType="end"/>
      </w:r>
      <w:r w:rsidRPr="00AF223D">
        <w:rPr>
          <w:sz w:val="22"/>
        </w:rPr>
        <w:t xml:space="preserve">, implemented using the module </w:t>
      </w:r>
      <w:proofErr w:type="spellStart"/>
      <w:r w:rsidRPr="00AF223D">
        <w:rPr>
          <w:sz w:val="22"/>
        </w:rPr>
        <w:t>PyKrige</w:t>
      </w:r>
      <w:proofErr w:type="spellEnd"/>
      <w:r w:rsidR="00F92EEE">
        <w:rPr>
          <w:sz w:val="22"/>
        </w:rPr>
        <w:t xml:space="preserve"> </w:t>
      </w:r>
      <w:r w:rsidR="00F92EEE">
        <w:rPr>
          <w:sz w:val="22"/>
        </w:rPr>
        <w:fldChar w:fldCharType="begin"/>
      </w:r>
      <w:r w:rsidR="00F92EEE">
        <w:rPr>
          <w:sz w:val="22"/>
        </w:rPr>
        <w:instrText xml:space="preserve"> ADDIN ZOTERO_ITEM CSL_CITATION {"citationID":"gEPNlJC9","properties":{"unsorted":false,"formattedCitation":"(Murphy et\\uc0\\u160{}al., 2025)","plainCitation":"(Murphy et al., 2025)","noteIndex":0},"citationItems":[{"id":574,"uris":["http://zotero.org/users/14068823/items/GF7AEA7M"],"itemData":{"id":574,"type":"software","DOI":"https://doi.org/10.5281/zenodo.17372225","genre":"Python","medium":"MacOS, Microsoft, Unix","source":"PyPI","title":"PyKrige: Kriging Toolkit for Python.","title-short":"PyKrige","URL":"https://github.com/GeoStat-Framework/PyKrige","version":"1.7.3","author":[{"family":"Murphy","given":"Benjamin"},{"family":"Yurchak","given":"Roman"},{"family":"Müller","given":"Sebastian"}],"accessed":{"date-parts":[["2026",3,3]]},"issued":{"date-parts":[["2025"]]}}}],"schema":"https://github.com/citation-style-language/schema/raw/master/csl-citation.json"} </w:instrText>
      </w:r>
      <w:r w:rsidR="00F92EEE">
        <w:rPr>
          <w:sz w:val="22"/>
        </w:rPr>
        <w:fldChar w:fldCharType="separate"/>
      </w:r>
      <w:r w:rsidR="00F92EEE" w:rsidRPr="00F92EEE">
        <w:rPr>
          <w:rFonts w:cs="Times New Roman"/>
          <w:sz w:val="22"/>
        </w:rPr>
        <w:t>(Murphy et al., 2025)</w:t>
      </w:r>
      <w:r w:rsidR="00F92EEE">
        <w:rPr>
          <w:sz w:val="22"/>
        </w:rPr>
        <w:fldChar w:fldCharType="end"/>
      </w:r>
      <w:r w:rsidRPr="00AF223D">
        <w:rPr>
          <w:sz w:val="22"/>
        </w:rPr>
        <w:t>. Random forest (RF) is an ensemble learning technique that constructs multiple decision trees using bootstrap samples and random subsets of predictors, averaging their predictions to improve robustness and reduce variance</w:t>
      </w:r>
      <w:r w:rsidR="00F92EEE">
        <w:rPr>
          <w:sz w:val="22"/>
        </w:rPr>
        <w:t xml:space="preserve"> </w:t>
      </w:r>
      <w:r w:rsidR="00F92EEE">
        <w:rPr>
          <w:sz w:val="22"/>
        </w:rPr>
        <w:fldChar w:fldCharType="begin"/>
      </w:r>
      <w:r w:rsidR="00F92EEE">
        <w:rPr>
          <w:sz w:val="22"/>
        </w:rPr>
        <w:instrText xml:space="preserve"> ADDIN ZOTERO_ITEM CSL_CITATION {"citationID":"rNgqHFVW","properties":{"unsorted":false,"formattedCitation":"(Breiman, 2001)","plainCitation":"(Breiman, 2001)","noteIndex":0},"citationItems":[{"id":559,"uris":["http://zotero.org/users/14068823/items/W38HWXHC"],"itemData":{"id":559,"type":"article-journal","abstract":"Random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F92EEE">
        <w:rPr>
          <w:sz w:val="22"/>
        </w:rPr>
        <w:fldChar w:fldCharType="separate"/>
      </w:r>
      <w:r w:rsidR="00F92EEE" w:rsidRPr="00F92EEE">
        <w:rPr>
          <w:rFonts w:cs="Times New Roman"/>
          <w:sz w:val="22"/>
        </w:rPr>
        <w:t>(Breiman, 2001)</w:t>
      </w:r>
      <w:r w:rsidR="00F92EEE">
        <w:rPr>
          <w:sz w:val="22"/>
        </w:rPr>
        <w:fldChar w:fldCharType="end"/>
      </w:r>
      <w:r w:rsidRPr="00AF223D">
        <w:rPr>
          <w:sz w:val="22"/>
        </w:rPr>
        <w:t>, implemented using the module scikit-learn</w:t>
      </w:r>
      <w:r w:rsidR="00F92EEE">
        <w:rPr>
          <w:sz w:val="22"/>
        </w:rPr>
        <w:t xml:space="preserve"> </w:t>
      </w:r>
      <w:r w:rsidR="00F92EEE">
        <w:rPr>
          <w:sz w:val="22"/>
        </w:rPr>
        <w:fldChar w:fldCharType="begin"/>
      </w:r>
      <w:r w:rsidR="00F92EEE">
        <w:rPr>
          <w:sz w:val="22"/>
        </w:rPr>
        <w:instrText xml:space="preserve"> ADDIN ZOTERO_ITEM CSL_CITATION {"citationID":"aDMJPuah","properties":{"unsorted":false,"formattedCitation":"(Pedregosa et\\uc0\\u160{}al., 2011)","plainCitation":"(Pedregosa et al., 2011)","noteIndex":0},"citationItems":[{"id":576,"uris":["http://zotero.org/users/14068823/items/PPARTYGV"],"itemData":{"id":576,"type":"article-journal","abstract":"Scikit-learn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F92EEE">
        <w:rPr>
          <w:sz w:val="22"/>
        </w:rPr>
        <w:fldChar w:fldCharType="separate"/>
      </w:r>
      <w:r w:rsidR="00F92EEE" w:rsidRPr="00F92EEE">
        <w:rPr>
          <w:rFonts w:cs="Times New Roman"/>
          <w:sz w:val="22"/>
        </w:rPr>
        <w:t>(Pedregosa et al., 2011)</w:t>
      </w:r>
      <w:r w:rsidR="00F92EEE">
        <w:rPr>
          <w:sz w:val="22"/>
        </w:rPr>
        <w:fldChar w:fldCharType="end"/>
      </w:r>
      <w:r w:rsidRPr="00AF223D">
        <w:rPr>
          <w:sz w:val="22"/>
        </w:rPr>
        <w:t xml:space="preserve">. In the RF+RK hybrid approach, residuals were calculated as the difference between observed </w:t>
      </w:r>
      <w:proofErr w:type="spellStart"/>
      <w:r w:rsidRPr="00AF223D">
        <w:rPr>
          <w:sz w:val="22"/>
        </w:rPr>
        <w:t>SQIw</w:t>
      </w:r>
      <w:proofErr w:type="spellEnd"/>
      <w:r w:rsidRPr="00AF223D">
        <w:rPr>
          <w:sz w:val="22"/>
        </w:rPr>
        <w:t xml:space="preserve"> values and those predicted by RF. Ordinary kriging was then applied to interpolate the residual surface, capturing the spatial dependence not explained by the deterministic machine learning component. Final predictions were obtained by summing the RF trend and the kriged residual surface</w:t>
      </w:r>
      <w:r w:rsidR="00F92EEE">
        <w:rPr>
          <w:sz w:val="22"/>
        </w:rPr>
        <w:t xml:space="preserve"> </w:t>
      </w:r>
      <w:r w:rsidR="00F92EEE">
        <w:rPr>
          <w:sz w:val="22"/>
        </w:rPr>
        <w:fldChar w:fldCharType="begin"/>
      </w:r>
      <w:r w:rsidR="00F92EEE">
        <w:rPr>
          <w:sz w:val="22"/>
        </w:rPr>
        <w:instrText xml:space="preserve"> ADDIN ZOTERO_ITEM CSL_CITATION {"citationID":"FxPnXFlk","properties":{"unsorted":false,"formattedCitation":"(Hengl et\\uc0\\u160{}al., 2007)","plainCitation":"(Hengl et al., 2007)","noteIndex":0},"citationItems":[{"id":560,"uris":["http://zotero.org/users/14068823/items/S4KBKIHL"],"itemData":{"id":560,"type":"article-journal","abstract":"This paper discusses the characteristics of regression-kriging (RK), its strengths and limitations, and illustrates these with a simple example and three case studies. RK is a spatial interpolation technique that combines a regression of the dependent variable on auxiliary variables (such as land surface parameters, remote sensing imagery and thematic maps) with simple kriging of the regression residuals. It is mathematically equivalent to the interpolation method variously called “Universal Kriging” (UK) and “Kriging with External Drift” (KED), where auxiliary predictors are used directly to solve the kriging weights. The advantage of RK is the ability to extend the method to a broader range of regression techniques and to allow separate interpretation of the two interpolated components. Data processing and interpretation of results are illustrated with three case studies covering the national territory of Croatia. The case studies use land surface parameters derived from combined Shuttle Radar Topography Mission and contour-based digital elevation models and multitemporal-enhanced vegetation indices derived from the MODIS imagery as auxiliary predictors. These are used to improve mapping of two continuous variables (soil organic matter content and mean annual land surface temperature) and one binary variable (presence of yew). In the case of mapping temperature, a physical model is used to estimate values of temperature at unvisited locations and RK is then used to calibrate the model with ground observations. The discussion addresses pragmatic issues: implementation of RK in existing software packages, comparison of RK with alternative interpolation techniques, and practical limitations to using RK. The most serious constraint to wider use of RK is that the analyst must carry out various steps in different software environments, both statistical and GIS.","collection-title":"Spatial Analysis","container-title":"Computers &amp; Geosciences","DOI":"10.1016/j.cageo.2007.05.001","ISSN":"0098-3004","issue":"10","journalAbbreviation":"Computers &amp; Geosciences","page":"1301-1315","source":"ScienceDirect","title":"About regression-kriging: From equations to case studies","title-short":"About regression-kriging","volume":"33","author":[{"family":"Hengl","given":"Tomislav"},{"family":"Heuvelink","given":"Gerard B. M."},{"family":"Rossiter","given":"David G."}],"issued":{"date-parts":[["2007",10,1]]}}}],"schema":"https://github.com/citation-style-language/schema/raw/master/csl-citation.json"} </w:instrText>
      </w:r>
      <w:r w:rsidR="00F92EEE">
        <w:rPr>
          <w:sz w:val="22"/>
        </w:rPr>
        <w:fldChar w:fldCharType="separate"/>
      </w:r>
      <w:r w:rsidR="00F92EEE" w:rsidRPr="00F92EEE">
        <w:rPr>
          <w:rFonts w:cs="Times New Roman"/>
          <w:sz w:val="22"/>
        </w:rPr>
        <w:t>(Hengl et al., 2007)</w:t>
      </w:r>
      <w:r w:rsidR="00F92EEE">
        <w:rPr>
          <w:sz w:val="22"/>
        </w:rPr>
        <w:fldChar w:fldCharType="end"/>
      </w:r>
      <w:r w:rsidRPr="00AF223D">
        <w:rPr>
          <w:sz w:val="22"/>
        </w:rPr>
        <w:t>.</w:t>
      </w:r>
      <w:r w:rsidR="00895706">
        <w:rPr>
          <w:sz w:val="22"/>
        </w:rPr>
        <w:t xml:space="preserve"> </w:t>
      </w:r>
      <w:r w:rsidR="00895706" w:rsidRPr="00397B1C">
        <w:rPr>
          <w:color w:val="EE0000"/>
          <w:sz w:val="22"/>
        </w:rPr>
        <w:t>The same procedure was applied to the reduced RF+RK model using the subset of predictors identified through permutation importance.</w:t>
      </w:r>
    </w:p>
    <w:p w14:paraId="34B8D912" w14:textId="77777777" w:rsidR="003B41E9" w:rsidRPr="00AF223D" w:rsidRDefault="00000000">
      <w:pPr>
        <w:pStyle w:val="Ttulo3"/>
        <w:rPr>
          <w:sz w:val="22"/>
          <w:szCs w:val="22"/>
        </w:rPr>
      </w:pPr>
      <w:bookmarkStart w:id="16" w:name="model-optimization"/>
      <w:bookmarkEnd w:id="15"/>
      <w:r w:rsidRPr="00AF223D">
        <w:rPr>
          <w:bCs/>
          <w:sz w:val="22"/>
          <w:szCs w:val="22"/>
        </w:rPr>
        <w:t>Model optimization</w:t>
      </w:r>
    </w:p>
    <w:p w14:paraId="217D8D86" w14:textId="43A533F0" w:rsidR="00895706" w:rsidRPr="00397B1C" w:rsidRDefault="00000000">
      <w:pPr>
        <w:rPr>
          <w:color w:val="EE0000"/>
          <w:sz w:val="22"/>
        </w:rPr>
      </w:pPr>
      <w:r w:rsidRPr="00AF223D">
        <w:rPr>
          <w:sz w:val="22"/>
        </w:rPr>
        <w:t xml:space="preserve">Random Forest models were optimized using Bayesian hyperparameter search with the </w:t>
      </w:r>
      <w:proofErr w:type="spellStart"/>
      <w:r w:rsidRPr="00AF223D">
        <w:rPr>
          <w:sz w:val="22"/>
        </w:rPr>
        <w:t>Optuna</w:t>
      </w:r>
      <w:proofErr w:type="spellEnd"/>
      <w:r w:rsidRPr="00AF223D">
        <w:rPr>
          <w:sz w:val="22"/>
        </w:rPr>
        <w:t xml:space="preserve"> algorithm, minimizing RMSE under cross-validation</w:t>
      </w:r>
      <w:r w:rsidR="007751D9">
        <w:rPr>
          <w:sz w:val="22"/>
        </w:rPr>
        <w:t xml:space="preserve"> </w:t>
      </w:r>
      <w:r w:rsidR="007751D9">
        <w:rPr>
          <w:sz w:val="22"/>
        </w:rPr>
        <w:fldChar w:fldCharType="begin"/>
      </w:r>
      <w:r w:rsidR="007751D9">
        <w:rPr>
          <w:sz w:val="22"/>
        </w:rPr>
        <w:instrText xml:space="preserve"> ADDIN ZOTERO_ITEM CSL_CITATION {"citationID":"U7G19FUZ","properties":{"unsorted":false,"formattedCitation":"(Akiba et\\uc0\\u160{}al., 2019)","plainCitation":"(Akiba et al., 2019)","noteIndex":0},"citationItems":[{"id":562,"uris":["http://zotero.org/users/14068823/items/XX2F6GEW"],"itemData":{"id":562,"type":"paper-conference","abstract":"The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(https://github.com/pfnet/optuna/).","collection-title":"KDD '19","container-title":"Proceedings of the 25th ACM SIGKDD International Conference on Knowledge Discovery &amp; Data Mining","DOI":"10.1145/3292500.3330701","ISBN":"978-1-4503-6201-6","page":"2623–2631","publisher":"Association for Computing Machinery","publisher-place":"New York, NY, USA","source":"ACM Digital Library","title":"Optuna: A Next-generation Hyperparameter Optimization Framework","title-short":"Optuna","URL":"https://dl.acm.org/doi/10.1145/3292500.3330701","author":[{"family":"Akiba","given":"Takuya"},{"family":"Sano","given":"Shotaro"},{"family":"Yanase","given":"Toshihiko"},{"family":"Ohta","given":"Takeru"},{"family":"Koyama","given":"Masanori"}],"accessed":{"date-parts":[["2026",2,27]]},"issued":{"date-parts":[["2019",7,25]]}}}],"schema":"https://github.com/citation-style-language/schema/raw/master/csl-citation.json"} </w:instrText>
      </w:r>
      <w:r w:rsidR="007751D9">
        <w:rPr>
          <w:sz w:val="22"/>
        </w:rPr>
        <w:fldChar w:fldCharType="separate"/>
      </w:r>
      <w:r w:rsidR="007751D9" w:rsidRPr="007751D9">
        <w:rPr>
          <w:rFonts w:cs="Times New Roman"/>
          <w:sz w:val="22"/>
        </w:rPr>
        <w:t>(Akiba et al., 2019)</w:t>
      </w:r>
      <w:r w:rsidR="007751D9">
        <w:rPr>
          <w:sz w:val="22"/>
        </w:rPr>
        <w:fldChar w:fldCharType="end"/>
      </w:r>
      <w:r w:rsidRPr="00AF223D">
        <w:rPr>
          <w:sz w:val="22"/>
        </w:rPr>
        <w:t xml:space="preserve">. </w:t>
      </w:r>
      <w:r w:rsidR="00895706" w:rsidRPr="00397B1C">
        <w:rPr>
          <w:color w:val="EE0000"/>
          <w:sz w:val="22"/>
        </w:rPr>
        <w:t>To avoid information leakage between hyperparameter selection and model evaluation, optimization was embedded within a nested cross-validation framework. The outer loop consisted of five folds used exclusively for model evaluation. Within each outer training set, an independent five-fold inner cross-validation was performed to optimize the RF hyperparameters by minimizing RMSE.</w:t>
      </w:r>
    </w:p>
    <w:p w14:paraId="326C53F8" w14:textId="016C386B" w:rsidR="003B41E9" w:rsidRPr="00397B1C" w:rsidRDefault="00895706">
      <w:pPr>
        <w:rPr>
          <w:color w:val="EE0000"/>
          <w:sz w:val="22"/>
        </w:rPr>
      </w:pPr>
      <w:r w:rsidRPr="00397B1C">
        <w:rPr>
          <w:color w:val="EE0000"/>
          <w:sz w:val="22"/>
        </w:rPr>
        <w:t>For each outer fold</w:t>
      </w:r>
      <w:r w:rsidRPr="00895706">
        <w:rPr>
          <w:sz w:val="22"/>
        </w:rPr>
        <w:t xml:space="preserve">, </w:t>
      </w:r>
      <w:r>
        <w:rPr>
          <w:sz w:val="22"/>
        </w:rPr>
        <w:t>s</w:t>
      </w:r>
      <w:r w:rsidRPr="00AF223D">
        <w:rPr>
          <w:sz w:val="22"/>
        </w:rPr>
        <w:t>ixty trials were performed using the TPE optimization method. The optimized hyperparameters included the number of trees, the maximum depth of the trees, the minimum number of samples per leaf, and the proportion of variables considered in each split (</w:t>
      </w:r>
      <w:r w:rsidRPr="00AF223D">
        <w:rPr>
          <w:b/>
          <w:bCs/>
          <w:sz w:val="22"/>
        </w:rPr>
        <w:t>Supplementary Table 1)</w:t>
      </w:r>
      <w:r w:rsidRPr="00AF223D">
        <w:rPr>
          <w:sz w:val="22"/>
        </w:rPr>
        <w:t>.</w:t>
      </w:r>
      <w:r>
        <w:rPr>
          <w:sz w:val="22"/>
        </w:rPr>
        <w:t xml:space="preserve"> </w:t>
      </w:r>
      <w:r w:rsidRPr="00397B1C">
        <w:rPr>
          <w:color w:val="EE0000"/>
          <w:sz w:val="22"/>
        </w:rPr>
        <w:t>The hyperparameter configuration yielding the lowest mean inner-validation RMSE was then used to fit the RF component on the corresponding outer training set before prediction of the held-out outer test fold.</w:t>
      </w:r>
    </w:p>
    <w:p w14:paraId="00DE0F10" w14:textId="77777777" w:rsidR="003B41E9" w:rsidRPr="00AF223D" w:rsidRDefault="00000000">
      <w:pPr>
        <w:pStyle w:val="Ttulo3"/>
        <w:rPr>
          <w:sz w:val="22"/>
          <w:szCs w:val="22"/>
        </w:rPr>
      </w:pPr>
      <w:bookmarkStart w:id="17" w:name="X5fa23a23e9409cfc2cc494af7cb6249a3e0b855"/>
      <w:bookmarkEnd w:id="16"/>
      <w:r w:rsidRPr="00AF223D">
        <w:rPr>
          <w:bCs/>
          <w:sz w:val="22"/>
          <w:szCs w:val="22"/>
        </w:rPr>
        <w:t>Validation strategy and performance metrics</w:t>
      </w:r>
    </w:p>
    <w:p w14:paraId="54E9D115" w14:textId="03387237" w:rsidR="00895706" w:rsidRPr="00397B1C" w:rsidRDefault="00895706">
      <w:pPr>
        <w:rPr>
          <w:color w:val="EE0000"/>
          <w:sz w:val="22"/>
        </w:rPr>
      </w:pPr>
      <w:r w:rsidRPr="00397B1C">
        <w:rPr>
          <w:color w:val="EE0000"/>
          <w:sz w:val="22"/>
        </w:rPr>
        <w:t xml:space="preserve">Predictive performance was evaluated using a nested cross-validation framework consisting of five outer folds and five inner folds. The outer folds were used exclusively for model evaluation, whereas the inner folds within </w:t>
      </w:r>
      <w:r w:rsidRPr="00397B1C">
        <w:rPr>
          <w:color w:val="EE0000"/>
          <w:sz w:val="22"/>
        </w:rPr>
        <w:lastRenderedPageBreak/>
        <w:t>each outer training set were used for hyperparameter optimization. Thus, observations in each outer test fold were not used during model tuning. The same outer folds were used for all models to ensure paired and directly comparable performance estimates.</w:t>
      </w:r>
    </w:p>
    <w:p w14:paraId="61F4949B" w14:textId="27826C81" w:rsidR="003B41E9" w:rsidRPr="00397B1C" w:rsidRDefault="00895706">
      <w:pPr>
        <w:rPr>
          <w:color w:val="EE0000"/>
          <w:sz w:val="22"/>
        </w:rPr>
      </w:pPr>
      <w:r w:rsidRPr="00397B1C">
        <w:rPr>
          <w:color w:val="EE0000"/>
          <w:sz w:val="22"/>
        </w:rPr>
        <w:t xml:space="preserve">Model performance was quantified on each held-out outer test fold using root mean square error (RMSE), mean absolute error (MAE), coefficient of determination (R²), normalized root </w:t>
      </w:r>
      <w:proofErr w:type="gramStart"/>
      <w:r w:rsidRPr="00397B1C">
        <w:rPr>
          <w:color w:val="EE0000"/>
          <w:sz w:val="22"/>
        </w:rPr>
        <w:t>mean</w:t>
      </w:r>
      <w:proofErr w:type="gramEnd"/>
      <w:r w:rsidRPr="00397B1C">
        <w:rPr>
          <w:color w:val="EE0000"/>
          <w:sz w:val="22"/>
        </w:rPr>
        <w:t xml:space="preserve"> square error (</w:t>
      </w:r>
      <w:proofErr w:type="spellStart"/>
      <w:r w:rsidRPr="00397B1C">
        <w:rPr>
          <w:color w:val="EE0000"/>
          <w:sz w:val="22"/>
        </w:rPr>
        <w:t>nRMSE</w:t>
      </w:r>
      <w:proofErr w:type="spellEnd"/>
      <w:r w:rsidRPr="00397B1C">
        <w:rPr>
          <w:color w:val="EE0000"/>
          <w:sz w:val="22"/>
        </w:rPr>
        <w:t>), relative error (</w:t>
      </w:r>
      <w:proofErr w:type="spellStart"/>
      <w:r w:rsidRPr="00397B1C">
        <w:rPr>
          <w:color w:val="EE0000"/>
          <w:sz w:val="22"/>
        </w:rPr>
        <w:t>RelError</w:t>
      </w:r>
      <w:proofErr w:type="spellEnd"/>
      <w:r w:rsidRPr="00397B1C">
        <w:rPr>
          <w:color w:val="EE0000"/>
          <w:sz w:val="22"/>
        </w:rPr>
        <w:t xml:space="preserve">), and Lin’s concordance correlation coefficient (CCC). </w:t>
      </w:r>
      <w:proofErr w:type="spellStart"/>
      <w:r w:rsidRPr="00397B1C">
        <w:rPr>
          <w:color w:val="EE0000"/>
          <w:sz w:val="22"/>
        </w:rPr>
        <w:t>nRMSE</w:t>
      </w:r>
      <w:proofErr w:type="spellEnd"/>
      <w:r w:rsidRPr="00397B1C">
        <w:rPr>
          <w:color w:val="EE0000"/>
          <w:sz w:val="22"/>
        </w:rPr>
        <w:t xml:space="preserve"> was calculated by normalizing RMSE by the mean observed </w:t>
      </w:r>
      <w:proofErr w:type="spellStart"/>
      <w:r w:rsidRPr="00397B1C">
        <w:rPr>
          <w:color w:val="EE0000"/>
          <w:sz w:val="22"/>
        </w:rPr>
        <w:t>SQIw</w:t>
      </w:r>
      <w:proofErr w:type="spellEnd"/>
      <w:r w:rsidRPr="00397B1C">
        <w:rPr>
          <w:color w:val="EE0000"/>
          <w:sz w:val="22"/>
        </w:rPr>
        <w:t xml:space="preserve"> of the corresponding test fold and expressing the result as a percentage. </w:t>
      </w:r>
      <w:proofErr w:type="spellStart"/>
      <w:r w:rsidRPr="00397B1C">
        <w:rPr>
          <w:color w:val="EE0000"/>
          <w:sz w:val="22"/>
        </w:rPr>
        <w:t>RelError</w:t>
      </w:r>
      <w:proofErr w:type="spellEnd"/>
      <w:r w:rsidRPr="00397B1C">
        <w:rPr>
          <w:color w:val="EE0000"/>
          <w:sz w:val="22"/>
        </w:rPr>
        <w:t xml:space="preserve"> was calculated as the mean absolute percentage difference between observed and predicted values. Lin’s CCC was used to quantify agreement between observed and predicted </w:t>
      </w:r>
      <w:proofErr w:type="spellStart"/>
      <w:r w:rsidRPr="00397B1C">
        <w:rPr>
          <w:color w:val="EE0000"/>
          <w:sz w:val="22"/>
        </w:rPr>
        <w:t>SQIw</w:t>
      </w:r>
      <w:proofErr w:type="spellEnd"/>
      <w:r w:rsidRPr="00397B1C">
        <w:rPr>
          <w:color w:val="EE0000"/>
          <w:sz w:val="22"/>
        </w:rPr>
        <w:t xml:space="preserve"> values, accounting for both precision and accuracy. All performance metrics were calculated independently for each outer test fold and are reported as mean ± standard deviation across the five outer folds. Calculations were implemented using scikit-learn</w:t>
      </w:r>
      <w:r w:rsidR="007751D9">
        <w:rPr>
          <w:color w:val="EE0000"/>
          <w:sz w:val="22"/>
        </w:rPr>
        <w:t xml:space="preserve"> </w:t>
      </w:r>
      <w:r w:rsidR="007751D9">
        <w:rPr>
          <w:sz w:val="22"/>
        </w:rPr>
        <w:fldChar w:fldCharType="begin"/>
      </w:r>
      <w:r w:rsidR="007751D9">
        <w:rPr>
          <w:sz w:val="22"/>
        </w:rPr>
        <w:instrText xml:space="preserve"> ADDIN ZOTERO_ITEM CSL_CITATION {"citationID":"cZ7qqm7w","properties":{"unsorted":false,"formattedCitation":"(Pedregosa et\\uc0\\u160{}al., 2011)","plainCitation":"(Pedregosa et al., 2011)","noteIndex":0},"citationItems":[{"id":576,"uris":["http://zotero.org/users/14068823/items/PPARTYGV"],"itemData":{"id":576,"type":"article-journal","abstract":"Scikit-learn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7751D9">
        <w:rPr>
          <w:sz w:val="22"/>
        </w:rPr>
        <w:fldChar w:fldCharType="separate"/>
      </w:r>
      <w:r w:rsidR="007751D9" w:rsidRPr="00F92EEE">
        <w:rPr>
          <w:rFonts w:cs="Times New Roman"/>
          <w:sz w:val="22"/>
        </w:rPr>
        <w:t>(Pedregosa et al., 2011)</w:t>
      </w:r>
      <w:r w:rsidR="007751D9">
        <w:rPr>
          <w:sz w:val="22"/>
        </w:rPr>
        <w:fldChar w:fldCharType="end"/>
      </w:r>
      <w:r w:rsidRPr="00397B1C">
        <w:rPr>
          <w:color w:val="EE0000"/>
          <w:sz w:val="22"/>
        </w:rPr>
        <w:t xml:space="preserve"> and NumPy</w:t>
      </w:r>
      <w:r w:rsidR="007751D9">
        <w:rPr>
          <w:color w:val="EE0000"/>
          <w:sz w:val="22"/>
        </w:rPr>
        <w:t xml:space="preserve"> </w:t>
      </w:r>
      <w:r w:rsidR="007751D9">
        <w:rPr>
          <w:color w:val="EE0000"/>
          <w:sz w:val="22"/>
        </w:rPr>
        <w:fldChar w:fldCharType="begin"/>
      </w:r>
      <w:r w:rsidR="007751D9">
        <w:rPr>
          <w:color w:val="EE0000"/>
          <w:sz w:val="22"/>
        </w:rPr>
        <w:instrText xml:space="preserve"> ADDIN ZOTERO_ITEM CSL_CITATION {"citationID":"1tjEbzBJ","properties":{"unsorted":false,"formattedCitation":"(Harris et\\uc0\\u160{}al., 2020)","plainCitation":"(Harris et al., 2020)","noteIndex":0},"citationItems":[{"id":577,"uris":["http://zotero.org/users/14068823/items/TJHEXXFD"],"itemData":{"id":577,"type":"article-journal","abstract":"Array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analysis.","container-title":"Nature","DOI":"10.1038/s41586-020-2649-2","ISSN":"1476-4687","issue":"7825","language":"en","license":"2020 The Author(s)","page":"357-362","publisher":"Nature Publishing Group","source":"www.nature.com","title":"Array programming with NumPy","volume":"585","author":[{"family":"Harris","given":"Charles R."},{"family":"Millman","given":"K. Jarrod"},{"family":"Walt","given":"Stéfan J.","non-dropping-particle":"van der"},{"family":"Gommers","given":"Ralf"},{"family":"Virtanen","given":"Pauli"},{"family":"Cournapeau","given":"David"},{"family":"Wieser","given":"Eric"},{"family":"Taylor","given":"Julian"},{"family":"Berg","given":"Sebastian"},{"family":"Smith","given":"Nathaniel J."},{"family":"Kern","given":"Robert"},{"family":"Picus","given":"Matti"},{"family":"Hoyer","given":"Stephan"},{"family":"Kerkwijk","given":"Marten H.","non-dropping-particle":"van"},{"family":"Brett","given":"Matthew"},{"family":"Haldane","given":"Allan"},{"family":"Río","given":"Jaime Fernández","non-dropping-particle":"del"},{"family":"Wiebe","given":"Mark"},{"family":"Peterson","given":"Pearu"},{"family":"Gérard-Marchant","given":"Pierre"},{"family":"Sheppard","given":"Kevin"},{"family":"Reddy","given":"Tyler"},{"family":"Weckesser","given":"Warren"},{"family":"Abbasi","given":"Hameer"},{"family":"Gohlke","given":"Christoph"},{"family":"Oliphant","given":"Travis E."}],"issued":{"date-parts":[["2020",9]]}}}],"schema":"https://github.com/citation-style-language/schema/raw/master/csl-citation.json"} </w:instrText>
      </w:r>
      <w:r w:rsidR="007751D9">
        <w:rPr>
          <w:color w:val="EE0000"/>
          <w:sz w:val="22"/>
        </w:rPr>
        <w:fldChar w:fldCharType="separate"/>
      </w:r>
      <w:r w:rsidR="007751D9" w:rsidRPr="007751D9">
        <w:rPr>
          <w:rFonts w:cs="Times New Roman"/>
          <w:sz w:val="22"/>
        </w:rPr>
        <w:t>(Harris et al., 2020)</w:t>
      </w:r>
      <w:r w:rsidR="007751D9">
        <w:rPr>
          <w:color w:val="EE0000"/>
          <w:sz w:val="22"/>
        </w:rPr>
        <w:fldChar w:fldCharType="end"/>
      </w:r>
      <w:r w:rsidRPr="00397B1C">
        <w:rPr>
          <w:color w:val="EE0000"/>
          <w:sz w:val="22"/>
        </w:rPr>
        <w:t>.</w:t>
      </w:r>
    </w:p>
    <w:p w14:paraId="7EF5D632" w14:textId="77777777" w:rsidR="003B41E9" w:rsidRPr="00AF223D" w:rsidRDefault="00000000">
      <w:pPr>
        <w:pStyle w:val="Ttulo3"/>
        <w:rPr>
          <w:sz w:val="22"/>
          <w:szCs w:val="22"/>
        </w:rPr>
      </w:pPr>
      <w:bookmarkStart w:id="18" w:name="statistical-comparison-of-models"/>
      <w:bookmarkEnd w:id="17"/>
      <w:r w:rsidRPr="00AF223D">
        <w:rPr>
          <w:bCs/>
          <w:sz w:val="22"/>
          <w:szCs w:val="22"/>
        </w:rPr>
        <w:t>Statistical comparison of models</w:t>
      </w:r>
    </w:p>
    <w:p w14:paraId="38274A4E" w14:textId="79AC46DB" w:rsidR="003B41E9" w:rsidRPr="00AF223D" w:rsidRDefault="00000000">
      <w:pPr>
        <w:rPr>
          <w:sz w:val="22"/>
        </w:rPr>
      </w:pPr>
      <w:r w:rsidRPr="00AF223D">
        <w:rPr>
          <w:sz w:val="22"/>
        </w:rPr>
        <w:t>Model performance across folds was statistically compared following</w:t>
      </w:r>
      <w:r w:rsidR="007751D9">
        <w:rPr>
          <w:sz w:val="22"/>
        </w:rPr>
        <w:t xml:space="preserve"> </w:t>
      </w:r>
      <w:r w:rsidR="007751D9">
        <w:rPr>
          <w:sz w:val="22"/>
        </w:rPr>
        <w:fldChar w:fldCharType="begin"/>
      </w:r>
      <w:r w:rsidR="007751D9">
        <w:rPr>
          <w:sz w:val="22"/>
        </w:rPr>
        <w:instrText xml:space="preserve"> ADDIN ZOTERO_ITEM CSL_CITATION {"citationID":"LFHlpw0i","properties":{"unsorted":false,"formattedCitation":"(Dem\\uc0\\u353{}ar, 2006)","plainCitation":"(Demšar, 2006)","noteIndex":0},"citationItems":[{"id":565,"uris":["http://zotero.org/users/14068823/items/9SET5F7X"],"itemData":{"id":565,"type":"article-journal","abstract":"While methods for comparing two learning algorithms on a single data set have been scrutinized for quite some time already, the issue of statistical tests for comparisons of more algorithms on multiple data sets, which is even more essential to typical machine learning studies, has been all but ignored. This article reviews the current practice and then theoretically and empirically examines several suitable tests. Based on that, we recommend a set of simple, yet safe and robust non-parametric tests for statistical comparisons of classifiers: the Wilcoxon signed ranks test for comparison of two classifiers and the Friedman test with the corresponding post-hoc tests for comparison of more classifiers over multiple data sets. Results of the latter can also be neatly presented with the newly introduced CD (critical difference) diagrams.","container-title":"J. Mach. Learn. Res.","ISSN":"1532-4435","page":"1–30","source":"ACM Digital Library","title":"Statistical Comparisons of Classifiers over Multiple Data Sets","volume":"7","author":[{"family":"Demšar","given":"Janez"}],"issued":{"date-parts":[["2006",12,1]]}}}],"schema":"https://github.com/citation-style-language/schema/raw/master/csl-citation.json"} </w:instrText>
      </w:r>
      <w:r w:rsidR="007751D9">
        <w:rPr>
          <w:sz w:val="22"/>
        </w:rPr>
        <w:fldChar w:fldCharType="separate"/>
      </w:r>
      <w:r w:rsidR="007751D9" w:rsidRPr="007751D9">
        <w:rPr>
          <w:rFonts w:cs="Times New Roman"/>
          <w:sz w:val="22"/>
        </w:rPr>
        <w:t xml:space="preserve">Demšar </w:t>
      </w:r>
      <w:r w:rsidR="007751D9">
        <w:rPr>
          <w:rFonts w:cs="Times New Roman"/>
          <w:sz w:val="22"/>
        </w:rPr>
        <w:t>(</w:t>
      </w:r>
      <w:r w:rsidR="007751D9" w:rsidRPr="007751D9">
        <w:rPr>
          <w:rFonts w:cs="Times New Roman"/>
          <w:sz w:val="22"/>
        </w:rPr>
        <w:t>2006)</w:t>
      </w:r>
      <w:r w:rsidR="007751D9">
        <w:rPr>
          <w:sz w:val="22"/>
        </w:rPr>
        <w:fldChar w:fldCharType="end"/>
      </w:r>
      <w:r w:rsidRPr="00AF223D">
        <w:rPr>
          <w:sz w:val="22"/>
        </w:rPr>
        <w:t xml:space="preserve">. The non-parametric Friedman test was applied to detect significant differences among algorithms, followed by the </w:t>
      </w:r>
      <w:proofErr w:type="spellStart"/>
      <w:r w:rsidRPr="00AF223D">
        <w:rPr>
          <w:sz w:val="22"/>
        </w:rPr>
        <w:t>Nemenyi</w:t>
      </w:r>
      <w:proofErr w:type="spellEnd"/>
      <w:r w:rsidRPr="00AF223D">
        <w:rPr>
          <w:sz w:val="22"/>
        </w:rPr>
        <w:t xml:space="preserve"> post-hoc test (α = 0.05) for pairwise comparisons, implemented using the modules SciPy</w:t>
      </w:r>
      <w:r w:rsidR="007751D9">
        <w:rPr>
          <w:sz w:val="22"/>
        </w:rPr>
        <w:t xml:space="preserve"> </w:t>
      </w:r>
      <w:r w:rsidR="007751D9">
        <w:rPr>
          <w:sz w:val="22"/>
        </w:rPr>
        <w:fldChar w:fldCharType="begin"/>
      </w:r>
      <w:r w:rsidR="007751D9">
        <w:rPr>
          <w:sz w:val="22"/>
        </w:rPr>
        <w:instrText xml:space="preserve"> ADDIN ZOTERO_ITEM CSL_CITATION {"citationID":"1uC2IcNu","properties":{"unsorted":false,"formattedCitation":"(Virtanen et\\uc0\\u160{}al., 2020)","plainCitation":"(Virtanen et al., 2020)","noteIndex":0},"citationItems":[{"id":578,"uris":["http://zotero.org/users/14068823/items/DEI4BAUF"],"itemData":{"id":578,"type":"article-journal","abstract":"SciPy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Author(s)","page":"261-272","publisher":"Nature Publishing Group","source":"www.nature.com","title":"SciPy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rsidR="007751D9">
        <w:rPr>
          <w:sz w:val="22"/>
        </w:rPr>
        <w:fldChar w:fldCharType="separate"/>
      </w:r>
      <w:r w:rsidR="007751D9" w:rsidRPr="007751D9">
        <w:rPr>
          <w:rFonts w:cs="Times New Roman"/>
          <w:sz w:val="22"/>
        </w:rPr>
        <w:t>(Virtanen et al., 2020)</w:t>
      </w:r>
      <w:r w:rsidR="007751D9">
        <w:rPr>
          <w:sz w:val="22"/>
        </w:rPr>
        <w:fldChar w:fldCharType="end"/>
      </w:r>
      <w:r w:rsidRPr="00AF223D">
        <w:rPr>
          <w:sz w:val="22"/>
        </w:rPr>
        <w:t xml:space="preserve"> and scikit-</w:t>
      </w:r>
      <w:proofErr w:type="spellStart"/>
      <w:r w:rsidRPr="00AF223D">
        <w:rPr>
          <w:sz w:val="22"/>
        </w:rPr>
        <w:t>posthocs</w:t>
      </w:r>
      <w:proofErr w:type="spellEnd"/>
      <w:r w:rsidR="007751D9">
        <w:rPr>
          <w:sz w:val="22"/>
        </w:rPr>
        <w:t xml:space="preserve"> </w:t>
      </w:r>
      <w:r w:rsidR="007751D9">
        <w:rPr>
          <w:sz w:val="22"/>
        </w:rPr>
        <w:fldChar w:fldCharType="begin"/>
      </w:r>
      <w:r w:rsidR="007751D9">
        <w:rPr>
          <w:sz w:val="22"/>
        </w:rPr>
        <w:instrText xml:space="preserve"> ADDIN ZOTERO_ITEM CSL_CITATION {"citationID":"exCQdzCu","properties":{"unsorted":false,"formattedCitation":"(Terpilowski, 2019)","plainCitation":"(Terpilowski, 2019)","noteIndex":0},"citationItems":[{"id":579,"uris":["http://zotero.org/users/14068823/items/EPJ5FRDH"],"itemData":{"id":579,"type":"article-journal","abstract":"Terpilowski, (2019). scikit-posthocs: Pairwise multiple comparison tests in Python. Journal of Open Source Software, 4(36), 1169, https://doi.org/10.21105/joss.01169","container-title":"Journal of Open Source Software","DOI":"10.21105/joss.01169","ISSN":"2475-9066","issue":"36","language":"en","page":"1169","source":"joss.theoj.org","title":"scikit-posthocs: Pairwise multiple comparison tests in Python","title-short":"scikit-posthocs","volume":"4","author":[{"family":"Terpilowski","given":"Maksim A."}],"issued":{"date-parts":[["2019",4,14]]}}}],"schema":"https://github.com/citation-style-language/schema/raw/master/csl-citation.json"} </w:instrText>
      </w:r>
      <w:r w:rsidR="007751D9">
        <w:rPr>
          <w:sz w:val="22"/>
        </w:rPr>
        <w:fldChar w:fldCharType="separate"/>
      </w:r>
      <w:r w:rsidR="007751D9" w:rsidRPr="007751D9">
        <w:rPr>
          <w:rFonts w:cs="Times New Roman"/>
          <w:sz w:val="22"/>
        </w:rPr>
        <w:t>(</w:t>
      </w:r>
      <w:proofErr w:type="spellStart"/>
      <w:r w:rsidR="007751D9" w:rsidRPr="007751D9">
        <w:rPr>
          <w:rFonts w:cs="Times New Roman"/>
          <w:sz w:val="22"/>
        </w:rPr>
        <w:t>Terpilowski</w:t>
      </w:r>
      <w:proofErr w:type="spellEnd"/>
      <w:r w:rsidR="007751D9" w:rsidRPr="007751D9">
        <w:rPr>
          <w:rFonts w:cs="Times New Roman"/>
          <w:sz w:val="22"/>
        </w:rPr>
        <w:t>, 2019)</w:t>
      </w:r>
      <w:r w:rsidR="007751D9">
        <w:rPr>
          <w:sz w:val="22"/>
        </w:rPr>
        <w:fldChar w:fldCharType="end"/>
      </w:r>
      <w:r w:rsidRPr="00AF223D">
        <w:rPr>
          <w:sz w:val="22"/>
        </w:rPr>
        <w:t>. Models sharing the same letter were considered statistically homogeneous.</w:t>
      </w:r>
    </w:p>
    <w:p w14:paraId="565A5BD7" w14:textId="77777777" w:rsidR="003B41E9" w:rsidRPr="00AF223D" w:rsidRDefault="00000000">
      <w:pPr>
        <w:pStyle w:val="Ttulo3"/>
        <w:rPr>
          <w:sz w:val="22"/>
          <w:szCs w:val="22"/>
        </w:rPr>
      </w:pPr>
      <w:bookmarkStart w:id="19" w:name="X2e54d8b6ea94620cc6e5e1435209aa34a0d3df7"/>
      <w:bookmarkEnd w:id="18"/>
      <w:r w:rsidRPr="00AF223D">
        <w:rPr>
          <w:bCs/>
          <w:sz w:val="22"/>
          <w:szCs w:val="22"/>
        </w:rPr>
        <w:t>Predictive covariates and variable importance</w:t>
      </w:r>
    </w:p>
    <w:p w14:paraId="0D54A602" w14:textId="55B3D1BC" w:rsidR="00F87E76" w:rsidRPr="00AF223D" w:rsidRDefault="00F87E76">
      <w:pPr>
        <w:rPr>
          <w:sz w:val="22"/>
        </w:rPr>
      </w:pPr>
      <w:r w:rsidRPr="00AF223D">
        <w:rPr>
          <w:sz w:val="22"/>
        </w:rPr>
        <w:t>Topographic, climatic, and spectral covariates commonly used in digital soil mapping were incorporated into the modelling because of their well-established relationships with soil-forming processes and the spatial variability of soil properties</w:t>
      </w:r>
      <w:r w:rsidR="007751D9">
        <w:rPr>
          <w:sz w:val="22"/>
        </w:rPr>
        <w:t xml:space="preserve"> </w:t>
      </w:r>
      <w:r w:rsidR="007751D9">
        <w:rPr>
          <w:sz w:val="22"/>
        </w:rPr>
        <w:fldChar w:fldCharType="begin"/>
      </w:r>
      <w:r w:rsidR="00382A8A">
        <w:rPr>
          <w:sz w:val="22"/>
        </w:rPr>
        <w:instrText xml:space="preserve"> ADDIN ZOTERO_ITEM CSL_CITATION {"citationID":"0dAxdEdE","properties":{"unsorted":false,"formattedCitation":"(Mehnatkesh et\\uc0\\u160{}al., 2013)","plainCitation":"(Mehnatkesh et al., 2013)","noteIndex":0},"citationItems":[{"id":642,"uris":["http://zotero.org/users/14068823/items/EKGKTFEZ"],"itemData":{"id":642,"type":"article-journal","abstract":"Soil depth generally varies in mountainous regions in rather complex ways. Conventional soil survey methods for evaluating the soil depth in mountainous and hilly regions require a lot of time, effort and consequently relatively large budget to perform. This study was conducted to explore the relationships between soil depth and topographic attributes in a hilly region in western Iran. For this, one hundred sampling points were selected using randomly stratified methodology, and considering all geomorphic surfaces including summit, shoulder, backslope, footslope and toeslope; and soil depth was actually measured. Eleven primary and secondary topographic attributes were derived from the digital elevation model (DEM) at the study area. The result of multiple linear regression indicated that slope, wetness index, catchment area and sediment transport index, which were included in the model, could explain about 76 % of total variability in soil depth at the selected site. This proposed approach may be applicable to other hilly regions in the semi-arid areas at a larger scale.","container-title":"Journal of Mountain Science","DOI":"10.1007/s11629-013-2427-9","ISSN":"1993-0321","issue":"1","journalAbbreviation":"J. Mt. Sci.","language":"en","page":"163-172","source":"Springer Link","title":"Relationships between soil depth and terrain attributes in a semi arid hilly region in western Iran","volume":"10","author":[{"family":"Mehnatkesh","given":"Abdolmohammad"},{"family":"Ayoubi","given":"Shamsollah"},{"family":"Jalalian","given":"Ahmad"},{"family":"Sahrawat","given":"Kanwar L."}],"issued":{"date-parts":[["2013",2,1]]}}}],"schema":"https://github.com/citation-style-language/schema/raw/master/csl-citation.json"} </w:instrText>
      </w:r>
      <w:r w:rsidR="007751D9">
        <w:rPr>
          <w:sz w:val="22"/>
        </w:rPr>
        <w:fldChar w:fldCharType="separate"/>
      </w:r>
      <w:r w:rsidR="00382A8A" w:rsidRPr="00382A8A">
        <w:rPr>
          <w:rFonts w:cs="Times New Roman"/>
          <w:sz w:val="22"/>
        </w:rPr>
        <w:t>(Mehnatkesh et al., 2013)</w:t>
      </w:r>
      <w:r w:rsidR="007751D9">
        <w:rPr>
          <w:sz w:val="22"/>
        </w:rPr>
        <w:fldChar w:fldCharType="end"/>
      </w:r>
      <w:r w:rsidR="00382A8A">
        <w:rPr>
          <w:sz w:val="22"/>
        </w:rPr>
        <w:t xml:space="preserve">. </w:t>
      </w:r>
      <w:r w:rsidRPr="00AF223D">
        <w:rPr>
          <w:sz w:val="22"/>
        </w:rPr>
        <w:t xml:space="preserve">The topographic covariates included elevation, slope, aspect (orientation), </w:t>
      </w:r>
      <w:proofErr w:type="spellStart"/>
      <w:r w:rsidRPr="00AF223D">
        <w:rPr>
          <w:sz w:val="22"/>
        </w:rPr>
        <w:t>hillshade</w:t>
      </w:r>
      <w:proofErr w:type="spellEnd"/>
      <w:r w:rsidRPr="00AF223D">
        <w:rPr>
          <w:sz w:val="22"/>
        </w:rPr>
        <w:t>, Topographic Position Index (TPI), Terrain Ruggedness Index (TRI), and Topographic Wetness Index (TWI), which influence soil formation, erosion, drainage, and water redistribution across the landscape. Climatic covariates comprised precipitation and temperature. Spectral covariates included the Normalized Difference Vegetation Index (NDVI), Soil-Adjusted Vegetation Index (SAVI), Normalized Difference Water Index (NDWI), Normalized Difference Moisture Index (NDMI), Green Chlorophyll Index (GCI), Normalized Burn Ratio (NBR) and Two-band Enhanced Vegetation Index (EVI2). These spectral indices were included because vegetation condition is strongly related to soil properties, allowing indirect characterization of soil fertility and supporting the prediction of soil attributes</w:t>
      </w:r>
      <w:r w:rsidR="00382A8A">
        <w:rPr>
          <w:sz w:val="22"/>
        </w:rPr>
        <w:t xml:space="preserve"> </w:t>
      </w:r>
      <w:r w:rsidR="00382A8A">
        <w:rPr>
          <w:sz w:val="22"/>
        </w:rPr>
        <w:fldChar w:fldCharType="begin"/>
      </w:r>
      <w:r w:rsidR="00382A8A">
        <w:rPr>
          <w:sz w:val="22"/>
        </w:rPr>
        <w:instrText xml:space="preserve"> ADDIN ZOTERO_ITEM CSL_CITATION {"citationID":"MW5ZtrNG","properties":{"unsorted":false,"formattedCitation":"(Falahatkar et\\uc0\\u160{}al., 2016; Mahmoudabadi et\\uc0\\u160{}al., 2017)","plainCitation":"(Falahatkar et al., 2016; Mahmoudabadi et al., 2017)","noteIndex":0},"citationItems":[{"id":640,"uris":["http://zotero.org/users/14068823/items/U67XZ4YC"],"itemData":{"id":640,"type":"article-journal","abstract":"In the present study, artificial neural networks (ANNs) were employed to develop models to predict soil organic carbon density (SOCD) at different depths of soil layers. Selected environmental variables such as vegetation indices, soil particle size distribution, land use type, besides primary and secondary terrain attributes were considered as the input variables. According to the results, the ANN models explained 77% and 72% of the variability in SOCD at soil layer depths of 0–20 cm and 20–40 cm, respectively, at the site studied. Sensitivity analyses showed that the most considerable positive contribution of variables for predicting SOCD included the land use type, normalized difference vegetation index (NDVI) &gt; normalized difference water index (NDWI) &gt; silt &gt; clay &gt; elevation in the 0–20 cm soil layer. On the other hand, for the 20–40 cm soil layer, the land use type following NDVI &gt; NDWI &gt; clay &gt; silt were identified as the most powerful predictive factors. In the Deylaman region, in both soil layers, sand had a considerable negative effect on SOCD and most of the terrain attributes had no significant impact on the SOCD prediction. Therefore, these results provide valuable information for sustainable management and decision-making on a landscape scale for governors and other users.","container-title":"Archives of Agronomy and Soil Science","DOI":"10.1080/03650340.2015.1051472","ISSN":"0365-0340","issue":"3","note":"_eprint: https://doi.org/10.1080/03650340.2015.1051472","page":"375-393","publisher":"Taylor &amp; Francis","source":"Taylor and Francis+NEJM","title":"Predicting soil organic carbon density using auxiliary environmental variables in northern Iran","volume":"62","author":[{"family":"Falahatkar","given":"Samereh"},{"family":"Hosseini","given":"Seyed Mohsen"},{"family":"Ayoubi","given":"Shamsollah"},{"family":"Salmanmahiny","given":"Abdolrassoul"}],"issued":{"date-parts":[["2016",3,3]]}}},{"id":641,"uris":["http://zotero.org/users/14068823/items/8MKRENFF"],"itemData":{"id":641,"type":"article-journal","abstract":"Digital soil mapping has been introduced as a viable alternative to the traditional mapping methods due to being fast and cost-effective. The objective of the present study was to investigate the capability of the vegetation features and spectral indices as auxiliary variables in digital soil mapping models to predict soil properties. A region with an area of 1225 ha located in Bajgiran rangelands, Khorasan Razavi province, northeastern Iran, was chosen. A total of 137 sampling sites, each containing 3–5 plots with 10-m interval distance along a transect established based on randomized-systematic method, were investigated. In each plot, plant species names and numbers as well as vegetation cover percentage (VCP) were recorded, and finally one composite soil sample was taken from each transect at each site (137 soil samples in total). Terrain attributes were derived from a digital elevation model, different bands and spectral indices were obtained from the Landsat7 ETM+ images, and vegetation features were calculated in the plots, all of which were used as auxiliary variables to predict soil properties using artificial neural network, gene expression programming, and multivariate linear regression models. According to R2 RMSE and MBE values, artificial neutral network was obtained as the most accurate soil properties prediction function used in scorpan model. Vegetation features and indices were more effective than remotely sensed data and terrain attributes in predicting soil properties including calcium carbonate equivalent, clay, bulk density, total nitrogen, carbon, sand, silt, and saturated moisture capacity. It was also shown that vegetation indices including NDVI, SAVI, MSAVI, SARVI, RDVI, and DVI were more effective in estimating the majority of soil properties compared to separate bands and even some soil spectral indices.","container-title":"Environmental Monitoring and Assessment","DOI":"10.1007/s10661-017-6197-7","ISSN":"1573-2959","issue":"10","journalAbbreviation":"Environ Monit Assess","language":"en","page":"500","source":"Springer Link","title":"Digital soil mapping using remote sensing indices, terrain attributes, and vegetation features in the rangelands of northeastern Iran","volume":"189","author":[{"family":"Mahmoudabadi","given":"Ebrahim"},{"family":"Karimi","given":"Alireza"},{"family":"Haghnia","given":"Gholam Hosain"},{"family":"Sepehr","given":"Adel"}],"issued":{"date-parts":[["2017",9,11]]}}}],"schema":"https://github.com/citation-style-language/schema/raw/master/csl-citation.json"} </w:instrText>
      </w:r>
      <w:r w:rsidR="00382A8A">
        <w:rPr>
          <w:sz w:val="22"/>
        </w:rPr>
        <w:fldChar w:fldCharType="separate"/>
      </w:r>
      <w:r w:rsidR="00382A8A" w:rsidRPr="00382A8A">
        <w:rPr>
          <w:rFonts w:cs="Times New Roman"/>
          <w:sz w:val="22"/>
        </w:rPr>
        <w:t>(Falahatkar et al., 2016; Mahmoudabadi et al., 2017)</w:t>
      </w:r>
      <w:r w:rsidR="00382A8A">
        <w:rPr>
          <w:sz w:val="22"/>
        </w:rPr>
        <w:fldChar w:fldCharType="end"/>
      </w:r>
      <w:r w:rsidRPr="00AF223D">
        <w:rPr>
          <w:sz w:val="22"/>
        </w:rPr>
        <w:t xml:space="preserve">. Spatial coordinates (X and Y, UTM) were also included to capture broad-scale spatial trends not explained by the environmental covariates. Data processing was performed using the NumPy </w:t>
      </w:r>
      <w:r w:rsidR="00382A8A">
        <w:rPr>
          <w:color w:val="EE0000"/>
          <w:sz w:val="22"/>
        </w:rPr>
        <w:fldChar w:fldCharType="begin"/>
      </w:r>
      <w:r w:rsidR="00382A8A">
        <w:rPr>
          <w:color w:val="EE0000"/>
          <w:sz w:val="22"/>
        </w:rPr>
        <w:instrText xml:space="preserve"> ADDIN ZOTERO_ITEM CSL_CITATION {"citationID":"OBPxwWTO","properties":{"unsorted":false,"formattedCitation":"(Harris et\\uc0\\u160{}al., 2020)","plainCitation":"(Harris et al., 2020)","noteIndex":0},"citationItems":[{"id":577,"uris":["http://zotero.org/users/14068823/items/TJHEXXFD"],"itemData":{"id":577,"type":"article-journal","abstract":"Array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analysis.","container-title":"Nature","DOI":"10.1038/s41586-020-2649-2","ISSN":"1476-4687","issue":"7825","language":"en","license":"2020 The Author(s)","page":"357-362","publisher":"Nature Publishing Group","source":"www.nature.com","title":"Array programming with NumPy","volume":"585","author":[{"family":"Harris","given":"Charles R."},{"family":"Millman","given":"K. Jarrod"},{"family":"Walt","given":"Stéfan J.","non-dropping-particle":"van der"},{"family":"Gommers","given":"Ralf"},{"family":"Virtanen","given":"Pauli"},{"family":"Cournapeau","given":"David"},{"family":"Wieser","given":"Eric"},{"family":"Taylor","given":"Julian"},{"family":"Berg","given":"Sebastian"},{"family":"Smith","given":"Nathaniel J."},{"family":"Kern","given":"Robert"},{"family":"Picus","given":"Matti"},{"family":"Hoyer","given":"Stephan"},{"family":"Kerkwijk","given":"Marten H.","non-dropping-particle":"van"},{"family":"Brett","given":"Matthew"},{"family":"Haldane","given":"Allan"},{"family":"Río","given":"Jaime Fernández","non-dropping-particle":"del"},{"family":"Wiebe","given":"Mark"},{"family":"Peterson","given":"Pearu"},{"family":"Gérard-Marchant","given":"Pierre"},{"family":"Sheppard","given":"Kevin"},{"family":"Reddy","given":"Tyler"},{"family":"Weckesser","given":"Warren"},{"family":"Abbasi","given":"Hameer"},{"family":"Gohlke","given":"Christoph"},{"family":"Oliphant","given":"Travis E."}],"issued":{"date-parts":[["2020",9]]}}}],"schema":"https://github.com/citation-style-language/schema/raw/master/csl-citation.json"} </w:instrText>
      </w:r>
      <w:r w:rsidR="00382A8A">
        <w:rPr>
          <w:color w:val="EE0000"/>
          <w:sz w:val="22"/>
        </w:rPr>
        <w:fldChar w:fldCharType="separate"/>
      </w:r>
      <w:r w:rsidR="00382A8A" w:rsidRPr="007751D9">
        <w:rPr>
          <w:rFonts w:cs="Times New Roman"/>
          <w:sz w:val="22"/>
        </w:rPr>
        <w:t>(Harris et al., 2020)</w:t>
      </w:r>
      <w:r w:rsidR="00382A8A">
        <w:rPr>
          <w:color w:val="EE0000"/>
          <w:sz w:val="22"/>
        </w:rPr>
        <w:fldChar w:fldCharType="end"/>
      </w:r>
      <w:r w:rsidRPr="00AF223D">
        <w:rPr>
          <w:sz w:val="22"/>
        </w:rPr>
        <w:t>, pandas</w:t>
      </w:r>
      <w:r w:rsidR="00382A8A">
        <w:rPr>
          <w:sz w:val="22"/>
        </w:rPr>
        <w:t xml:space="preserve"> </w:t>
      </w:r>
      <w:r w:rsidR="00382A8A">
        <w:rPr>
          <w:sz w:val="22"/>
        </w:rPr>
        <w:fldChar w:fldCharType="begin"/>
      </w:r>
      <w:r w:rsidR="00382A8A">
        <w:rPr>
          <w:sz w:val="22"/>
        </w:rPr>
        <w:instrText xml:space="preserve"> ADDIN ZOTERO_ITEM CSL_CITATION {"citationID":"xZ3ZypbK","properties":{"unsorted":false,"formattedCitation":"(McKinney, 2010)","plainCitation":"(McKinney, 2010)","noteIndex":0},"citationItems":[{"id":598,"uris":["http://zotero.org/users/14068823/items/UFP2BSZ6"],"itemData":{"id":598,"type":"article-journal","abstract":"In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models.","container-title":"SciPy 2010","DOI":"10.25080/Majora-92bf1922-00a","language":"en","source":"proceedings.scipy.org","title":"Data Structures for Statistical Computing in Python","URL":"https://proceedings.scipy.org/articles/Majora-92bf1922-00a","author":[{"family":"McKinney","given":"Wes"}],"accessed":{"date-parts":[["2026",3,4]]},"issued":{"date-parts":[["2010",5,1]]}}}],"schema":"https://github.com/citation-style-language/schema/raw/master/csl-citation.json"} </w:instrText>
      </w:r>
      <w:r w:rsidR="00382A8A">
        <w:rPr>
          <w:sz w:val="22"/>
        </w:rPr>
        <w:fldChar w:fldCharType="separate"/>
      </w:r>
      <w:r w:rsidR="00382A8A" w:rsidRPr="00382A8A">
        <w:rPr>
          <w:rFonts w:cs="Times New Roman"/>
          <w:sz w:val="22"/>
        </w:rPr>
        <w:t>(McKinney, 2010)</w:t>
      </w:r>
      <w:r w:rsidR="00382A8A">
        <w:rPr>
          <w:sz w:val="22"/>
        </w:rPr>
        <w:fldChar w:fldCharType="end"/>
      </w:r>
      <w:r w:rsidRPr="00AF223D">
        <w:rPr>
          <w:sz w:val="22"/>
        </w:rPr>
        <w:t xml:space="preserve">, </w:t>
      </w:r>
      <w:proofErr w:type="spellStart"/>
      <w:r w:rsidRPr="00AF223D">
        <w:rPr>
          <w:sz w:val="22"/>
        </w:rPr>
        <w:t>GeoPandas</w:t>
      </w:r>
      <w:proofErr w:type="spellEnd"/>
      <w:r w:rsidR="00382A8A">
        <w:rPr>
          <w:sz w:val="22"/>
        </w:rPr>
        <w:t xml:space="preserve"> </w:t>
      </w:r>
      <w:r w:rsidR="00382A8A">
        <w:rPr>
          <w:sz w:val="22"/>
        </w:rPr>
        <w:fldChar w:fldCharType="begin"/>
      </w:r>
      <w:r w:rsidR="00382A8A">
        <w:rPr>
          <w:sz w:val="22"/>
        </w:rPr>
        <w:instrText xml:space="preserve"> ADDIN ZOTERO_ITEM CSL_CITATION {"citationID":"iTHU2Y9y","properties":{"unsorted":false,"formattedCitation":"(Jordahl et\\uc0\\u160{}al., 2020)","plainCitation":"(Jordahl et al., 2020)","noteIndex":0},"citationItems":[{"id":597,"uris":["http://zotero.org/users/14068823/items/KY48B9CB"],"itemData":{"id":597,"type":"software","abstract":"Small bug-fix release:\n\n\n\nFix a regression in the plot() method when visualizing with a\nJenksCaspallSampled or FisherJenksSampled scheme (#1486).\n\nFix spurious warning in GeoDataFrame.to_postgis (#1497).\n\nFix the un-pickling with pd.read_pickle of files written with older\nGeoPandas versions (#1511).\n\n\nThanks to Ian Rose, Joris Van den Bossche and Martin Fleischmann for their contributions!","DOI":"10.5281/zenodo.3946761","publisher":"Zenodo","source":"Zenodo","title":"geopandas/geopandas: v0.8.1","title-short":"geopandas/geopandas","URL":"https://zenodo.org/records/3946761","author":[{"family":"Jordahl","given":"Kelsey"},{"family":"Bossche","given":"Joris Van","dropping-particle":"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family":"maxalbert","given":""},{"family":"Bilogur","given":"Aleksey"},{"family":"Rey","given":"Sergio"},{"family":"Ren","given":"Christopher"},{"family":"Arribas-Bel","given":"Dani"},{"family":"Wasser","given":"Leah"},{"family":"Wolf","given":"Levi John"},{"family":"Journois","given":"Martin"},{"family":"Wilson","given":"Joshua"},{"family":"Greenhall","given":"Adam"},{"family":"Holdgraf","given":"Chris"},{"family":"Filipe","given":""},{"family":"Leblanc","given":"François"}],"accessed":{"date-parts":[["2026",3,4]]},"issued":{"date-parts":[["2020",7,15]]}}}],"schema":"https://github.com/citation-style-language/schema/raw/master/csl-citation.json"} </w:instrText>
      </w:r>
      <w:r w:rsidR="00382A8A">
        <w:rPr>
          <w:sz w:val="22"/>
        </w:rPr>
        <w:fldChar w:fldCharType="separate"/>
      </w:r>
      <w:r w:rsidR="00382A8A" w:rsidRPr="00382A8A">
        <w:rPr>
          <w:rFonts w:cs="Times New Roman"/>
          <w:sz w:val="22"/>
        </w:rPr>
        <w:t>(Jordahl et al., 2020)</w:t>
      </w:r>
      <w:r w:rsidR="00382A8A">
        <w:rPr>
          <w:sz w:val="22"/>
        </w:rPr>
        <w:fldChar w:fldCharType="end"/>
      </w:r>
      <w:r w:rsidRPr="00AF223D">
        <w:rPr>
          <w:sz w:val="22"/>
        </w:rPr>
        <w:t xml:space="preserve">, and </w:t>
      </w:r>
      <w:proofErr w:type="spellStart"/>
      <w:r w:rsidRPr="00AF223D">
        <w:rPr>
          <w:sz w:val="22"/>
        </w:rPr>
        <w:t>rasterio</w:t>
      </w:r>
      <w:proofErr w:type="spellEnd"/>
      <w:r w:rsidRPr="00AF223D">
        <w:rPr>
          <w:sz w:val="22"/>
        </w:rPr>
        <w:t xml:space="preserve"> libraries.</w:t>
      </w:r>
    </w:p>
    <w:p w14:paraId="134D890B" w14:textId="025F2B47" w:rsidR="003B41E9" w:rsidRPr="00397B1C" w:rsidRDefault="00895706">
      <w:pPr>
        <w:rPr>
          <w:color w:val="EE0000"/>
          <w:sz w:val="22"/>
        </w:rPr>
      </w:pPr>
      <w:r w:rsidRPr="00397B1C">
        <w:rPr>
          <w:color w:val="EE0000"/>
          <w:sz w:val="22"/>
        </w:rPr>
        <w:lastRenderedPageBreak/>
        <w:t xml:space="preserve">The importance of the predictor variables was assessed using permutation importance within the Random Forest model. To ensure independence from model tuning, permutation importance was calculated separately on each held-out outer test fold of the nested cross-validation, using the RF model optimized exclusively within the corresponding outer training set. Predictor importance was quantified as the change in prediction error after randomly permuting the values of each predictor, expressed as ΔRMSE = </w:t>
      </w:r>
      <w:proofErr w:type="spellStart"/>
      <w:r w:rsidRPr="00397B1C">
        <w:rPr>
          <w:color w:val="EE0000"/>
          <w:sz w:val="22"/>
        </w:rPr>
        <w:t>RMSE_permuted</w:t>
      </w:r>
      <w:proofErr w:type="spellEnd"/>
      <w:r w:rsidRPr="00397B1C">
        <w:rPr>
          <w:color w:val="EE0000"/>
          <w:sz w:val="22"/>
        </w:rPr>
        <w:t xml:space="preserve"> − </w:t>
      </w:r>
      <w:proofErr w:type="spellStart"/>
      <w:r w:rsidRPr="00397B1C">
        <w:rPr>
          <w:color w:val="EE0000"/>
          <w:sz w:val="22"/>
        </w:rPr>
        <w:t>RMSE_baseline</w:t>
      </w:r>
      <w:proofErr w:type="spellEnd"/>
      <w:r w:rsidR="00382A8A">
        <w:rPr>
          <w:color w:val="EE0000"/>
          <w:sz w:val="22"/>
        </w:rPr>
        <w:t xml:space="preserve"> </w:t>
      </w:r>
      <w:r w:rsidR="00382A8A">
        <w:rPr>
          <w:color w:val="EE0000"/>
          <w:sz w:val="22"/>
        </w:rPr>
        <w:fldChar w:fldCharType="begin"/>
      </w:r>
      <w:r w:rsidR="00382A8A">
        <w:rPr>
          <w:color w:val="EE0000"/>
          <w:sz w:val="22"/>
        </w:rPr>
        <w:instrText xml:space="preserve"> ADDIN ZOTERO_ITEM CSL_CITATION {"citationID":"20b9qorz","properties":{"unsorted":false,"formattedCitation":"(Fisher et\\uc0\\u160{}al., 2019)","plainCitation":"(Fisher et al., 2019)","noteIndex":0},"citationItems":[{"id":566,"uris":["http://zotero.org/users/14068823/items/MJ3XSVT6"],"itemData":{"id":566,"type":"article-journal","abstract":"Variable importance (VI) tools describe how much covariates contribute to a prediction model's accuracy. However, important variables for one well-performing model (for example, a linear model f(x)=xTβf(x)=xTβf(\\mathbf{x})=\\mathbf{x}^{T}\\beta with a fixed coefficient vector ββ\\beta) may be unimportant for another model. In this paper, we propose model class reliance (MCR) as the range of VI values across all well-performing model in a prespecified class. Thus, MCR gives a more comprehensive description of importance by accounting for the fact that many prediction models, possibly of different parametric forms, may fit the data well. In the process of deriving MCR, we show several informative results for permutation-based VI estimates, based on the VI measures used in Random Forests. Specifically, we derive connections between permutation importance estimates for a single prediction model, U-statistics, conditional variable importance, conditional causal effects, and linear model coefficients. We then give probabilistic bounds for MCR, using a novel, generalizable technique. We apply MCR to a public data set of Broward County criminal records to study the reliance of recidivism prediction models on sex and race. In this application, MCR can be used to help inform VI for unknown, proprietary models.","container-title":"Journal of Machine Learning Research","ISSN":"1533-7928","issue":"177","page":"1-81","source":"jmlr.org","title":"All Models are Wrong, but Many are Useful: Learning a Variable's Importance by Studying an Entire Class of Prediction Models Simultaneously","title-short":"All Models are Wrong, but Many are Useful","volume":"20","author":[{"family":"Fisher","given":"Aaron"},{"family":"Rudin","given":"Cynthia"},{"family":"Dominici","given":"Francesca"}],"issued":{"date-parts":[["2019"]]}}}],"schema":"https://github.com/citation-style-language/schema/raw/master/csl-citation.json"} </w:instrText>
      </w:r>
      <w:r w:rsidR="00382A8A">
        <w:rPr>
          <w:color w:val="EE0000"/>
          <w:sz w:val="22"/>
        </w:rPr>
        <w:fldChar w:fldCharType="separate"/>
      </w:r>
      <w:r w:rsidR="00382A8A" w:rsidRPr="00382A8A">
        <w:rPr>
          <w:rFonts w:cs="Times New Roman"/>
          <w:sz w:val="22"/>
        </w:rPr>
        <w:t>(Fisher et al., 2019)</w:t>
      </w:r>
      <w:r w:rsidR="00382A8A">
        <w:rPr>
          <w:color w:val="EE0000"/>
          <w:sz w:val="22"/>
        </w:rPr>
        <w:fldChar w:fldCharType="end"/>
      </w:r>
      <w:r w:rsidRPr="00397B1C">
        <w:rPr>
          <w:color w:val="EE0000"/>
          <w:sz w:val="22"/>
        </w:rPr>
        <w:t>. Thus, positive ΔRMSE values indicate a decrease in predictive performance after permutation and, consequently, a greater contribution of the predictor, whereas values close to or below zero indicate little or no consistent predictive contribution. Predictor importance was summarized as the mean ΔRMSE ± standard deviation across the five outer folds.</w:t>
      </w:r>
    </w:p>
    <w:p w14:paraId="208F3447" w14:textId="77777777" w:rsidR="003B41E9" w:rsidRPr="00AF223D" w:rsidRDefault="00000000">
      <w:pPr>
        <w:pStyle w:val="Ttulo1"/>
        <w:rPr>
          <w:sz w:val="22"/>
          <w:szCs w:val="22"/>
        </w:rPr>
      </w:pPr>
      <w:bookmarkStart w:id="20" w:name="results"/>
      <w:bookmarkEnd w:id="1"/>
      <w:bookmarkEnd w:id="14"/>
      <w:bookmarkEnd w:id="19"/>
      <w:r w:rsidRPr="00AF223D">
        <w:rPr>
          <w:bCs/>
          <w:sz w:val="22"/>
          <w:szCs w:val="22"/>
        </w:rPr>
        <w:lastRenderedPageBreak/>
        <w:t>RESULTS</w:t>
      </w:r>
    </w:p>
    <w:p w14:paraId="30D553FF" w14:textId="77777777" w:rsidR="003B41E9" w:rsidRPr="00AF223D" w:rsidRDefault="00000000">
      <w:pPr>
        <w:pStyle w:val="Ttulo2"/>
        <w:rPr>
          <w:sz w:val="22"/>
          <w:szCs w:val="22"/>
        </w:rPr>
      </w:pPr>
      <w:bookmarkStart w:id="21" w:name="Xebd4b5a575eb1bda174e005976121b53be87761"/>
      <w:r w:rsidRPr="00AF223D">
        <w:rPr>
          <w:sz w:val="22"/>
          <w:szCs w:val="22"/>
        </w:rPr>
        <w:t>Multivariate statistical analysis for selecting the MDS</w:t>
      </w:r>
    </w:p>
    <w:p w14:paraId="03042D11" w14:textId="180BFD2A" w:rsidR="003B41E9" w:rsidRPr="00AF223D" w:rsidRDefault="00000000">
      <w:pPr>
        <w:rPr>
          <w:sz w:val="22"/>
        </w:rPr>
      </w:pPr>
      <w:r w:rsidRPr="00AF223D">
        <w:rPr>
          <w:sz w:val="22"/>
        </w:rPr>
        <w:t>The correlation matrix (</w:t>
      </w:r>
      <w:hyperlink r:id="rId12" w:anchor="bookmark=id.xlmsyw2rhth8">
        <w:r w:rsidR="003B41E9" w:rsidRPr="00AF223D">
          <w:rPr>
            <w:rStyle w:val="Hipervnculo"/>
            <w:color w:val="auto"/>
            <w:sz w:val="22"/>
          </w:rPr>
          <w:t>Figure 2</w:t>
        </w:r>
      </w:hyperlink>
      <w:r w:rsidRPr="00AF223D">
        <w:rPr>
          <w:sz w:val="22"/>
        </w:rPr>
        <w:t xml:space="preserve">) revealed significant associations among several physicochemical soil properties. Strong positive correlations were observed between ECEC with Ca (r = 0.96) and Mg (r = 0.79), between BD and Sand (r = 0.95), and between Ca and Mg (r = 0.70). A strong negative correlation was also detected between sand and silt percentages (r = –0.86) and between BD and clay (r = –0.83). </w:t>
      </w:r>
      <w:r w:rsidR="00427376" w:rsidRPr="00397B1C">
        <w:rPr>
          <w:color w:val="EE0000"/>
          <w:sz w:val="22"/>
        </w:rPr>
        <w:t xml:space="preserve">In contrast, </w:t>
      </w:r>
      <w:proofErr w:type="spellStart"/>
      <w:r w:rsidR="00427376" w:rsidRPr="00397B1C">
        <w:rPr>
          <w:color w:val="EE0000"/>
          <w:sz w:val="22"/>
        </w:rPr>
        <w:t>ECe</w:t>
      </w:r>
      <w:proofErr w:type="spellEnd"/>
      <w:r w:rsidR="00427376" w:rsidRPr="00397B1C">
        <w:rPr>
          <w:color w:val="EE0000"/>
          <w:sz w:val="22"/>
        </w:rPr>
        <w:t xml:space="preserve">, available K, and exchangeable K did not meet the predefined significance criterion for their relationships with NDVI (p ≥ 0.001) and were therefore not retained during the indicator-screening step. Although </w:t>
      </w:r>
      <w:proofErr w:type="spellStart"/>
      <w:r w:rsidR="00427376" w:rsidRPr="00397B1C">
        <w:rPr>
          <w:color w:val="EE0000"/>
          <w:sz w:val="22"/>
        </w:rPr>
        <w:t>ECe</w:t>
      </w:r>
      <w:proofErr w:type="spellEnd"/>
      <w:r w:rsidR="00427376" w:rsidRPr="00397B1C">
        <w:rPr>
          <w:color w:val="EE0000"/>
          <w:sz w:val="22"/>
        </w:rPr>
        <w:t xml:space="preserve"> was excluded from the MDS, salinity was widespread across the dataset, with a 25th percentile of 5.52 </w:t>
      </w:r>
      <w:proofErr w:type="spellStart"/>
      <w:r w:rsidR="00427376" w:rsidRPr="00397B1C">
        <w:rPr>
          <w:color w:val="EE0000"/>
          <w:sz w:val="22"/>
        </w:rPr>
        <w:t>dS</w:t>
      </w:r>
      <w:proofErr w:type="spellEnd"/>
      <w:r w:rsidR="00427376" w:rsidRPr="00397B1C">
        <w:rPr>
          <w:color w:val="EE0000"/>
          <w:sz w:val="22"/>
        </w:rPr>
        <w:t xml:space="preserve"> m⁻¹. Thus, </w:t>
      </w:r>
      <w:proofErr w:type="spellStart"/>
      <w:r w:rsidR="00427376" w:rsidRPr="00397B1C">
        <w:rPr>
          <w:color w:val="EE0000"/>
          <w:sz w:val="22"/>
        </w:rPr>
        <w:t>ECe</w:t>
      </w:r>
      <w:proofErr w:type="spellEnd"/>
      <w:r w:rsidR="00427376" w:rsidRPr="00397B1C">
        <w:rPr>
          <w:color w:val="EE0000"/>
          <w:sz w:val="22"/>
        </w:rPr>
        <w:t xml:space="preserve"> primarily characterized the general salt-affected condition of the study area rather than providing sufficient discriminatory information for the relative soil-quality gradient captured by the NDVI-related </w:t>
      </w:r>
      <w:proofErr w:type="spellStart"/>
      <w:r w:rsidR="00427376" w:rsidRPr="00397B1C">
        <w:rPr>
          <w:color w:val="EE0000"/>
          <w:sz w:val="22"/>
        </w:rPr>
        <w:t>SQIw</w:t>
      </w:r>
      <w:proofErr w:type="spellEnd"/>
      <w:r w:rsidR="00427376" w:rsidRPr="00397B1C">
        <w:rPr>
          <w:color w:val="EE0000"/>
          <w:sz w:val="22"/>
        </w:rPr>
        <w:t xml:space="preserve">. </w:t>
      </w:r>
    </w:p>
    <w:p w14:paraId="524186F8" w14:textId="2B03E8E8" w:rsidR="003B41E9" w:rsidRPr="00AF223D" w:rsidRDefault="00012A75">
      <w:pPr>
        <w:rPr>
          <w:sz w:val="22"/>
        </w:rPr>
      </w:pPr>
      <w:r w:rsidRPr="00AF223D">
        <w:rPr>
          <w:sz w:val="22"/>
        </w:rPr>
        <w:t xml:space="preserve">To avoid redundancy and ensure indicator independence in the development of the </w:t>
      </w:r>
      <w:proofErr w:type="spellStart"/>
      <w:r w:rsidRPr="00AF223D">
        <w:rPr>
          <w:sz w:val="22"/>
        </w:rPr>
        <w:t>SQIw</w:t>
      </w:r>
      <w:proofErr w:type="spellEnd"/>
      <w:r w:rsidRPr="00AF223D">
        <w:rPr>
          <w:sz w:val="22"/>
        </w:rPr>
        <w:t xml:space="preserve">, six non-redundant variables (pH, Na, OM, Ca, Sand, and Clay) showing significant correlations with NDVI were retained as candidate variables for the PCA. The PCA was subsequently used to identify the final Minimum Data Set (MDS), consisting of the most informative indicators for </w:t>
      </w:r>
      <w:proofErr w:type="spellStart"/>
      <w:r w:rsidRPr="00AF223D">
        <w:rPr>
          <w:sz w:val="22"/>
        </w:rPr>
        <w:t>SQIw</w:t>
      </w:r>
      <w:proofErr w:type="spellEnd"/>
      <w:r w:rsidRPr="00AF223D">
        <w:rPr>
          <w:sz w:val="22"/>
        </w:rPr>
        <w:t xml:space="preserve"> construction.</w:t>
      </w:r>
    </w:p>
    <w:tbl>
      <w:tblPr>
        <w:tblStyle w:val="Table"/>
        <w:tblW w:w="5000" w:type="pct"/>
        <w:tblLayout w:type="fixed"/>
        <w:tblLook w:val="0000" w:firstRow="0" w:lastRow="0" w:firstColumn="0" w:lastColumn="0" w:noHBand="0" w:noVBand="0"/>
      </w:tblPr>
      <w:tblGrid>
        <w:gridCol w:w="9777"/>
      </w:tblGrid>
      <w:tr w:rsidR="00AF223D" w:rsidRPr="00AF223D" w14:paraId="4F75374E" w14:textId="77777777">
        <w:tc>
          <w:tcPr>
            <w:tcW w:w="7920" w:type="dxa"/>
          </w:tcPr>
          <w:p w14:paraId="36E3AEDD" w14:textId="77777777" w:rsidR="003B41E9" w:rsidRPr="00AF223D" w:rsidRDefault="00000000">
            <w:pPr>
              <w:jc w:val="center"/>
              <w:rPr>
                <w:sz w:val="22"/>
              </w:rPr>
            </w:pPr>
            <w:bookmarkStart w:id="22" w:name="fig-id.xlmsyw2rhth8"/>
            <w:r w:rsidRPr="00AF223D">
              <w:rPr>
                <w:noProof/>
                <w:sz w:val="22"/>
              </w:rPr>
              <w:lastRenderedPageBreak/>
              <w:drawing>
                <wp:inline distT="0" distB="0" distL="0" distR="0" wp14:anchorId="1DBCD496" wp14:editId="70343B8E">
                  <wp:extent cx="6073648" cy="4555236"/>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article/img_1.png"/>
                          <pic:cNvPicPr>
                            <a:picLocks noChangeAspect="1" noChangeArrowheads="1"/>
                          </pic:cNvPicPr>
                        </pic:nvPicPr>
                        <pic:blipFill>
                          <a:blip r:embed="rId13"/>
                          <a:stretch>
                            <a:fillRect/>
                          </a:stretch>
                        </pic:blipFill>
                        <pic:spPr bwMode="auto">
                          <a:xfrm>
                            <a:off x="0" y="0"/>
                            <a:ext cx="6073648" cy="4555236"/>
                          </a:xfrm>
                          <a:prstGeom prst="rect">
                            <a:avLst/>
                          </a:prstGeom>
                          <a:noFill/>
                          <a:ln w="9525">
                            <a:noFill/>
                            <a:headEnd/>
                            <a:tailEnd/>
                          </a:ln>
                        </pic:spPr>
                      </pic:pic>
                    </a:graphicData>
                  </a:graphic>
                </wp:inline>
              </w:drawing>
            </w:r>
          </w:p>
          <w:p w14:paraId="57B82BCD" w14:textId="77777777" w:rsidR="003B41E9" w:rsidRPr="00AF223D" w:rsidRDefault="00000000">
            <w:pPr>
              <w:spacing w:before="200"/>
              <w:jc w:val="left"/>
              <w:rPr>
                <w:sz w:val="22"/>
              </w:rPr>
            </w:pPr>
            <w:r w:rsidRPr="00AF223D">
              <w:rPr>
                <w:sz w:val="22"/>
              </w:rPr>
              <w:t xml:space="preserve">Figure 2: </w:t>
            </w:r>
            <w:r w:rsidRPr="00AF223D">
              <w:rPr>
                <w:i/>
                <w:iCs/>
                <w:sz w:val="22"/>
              </w:rPr>
              <w:t>Pearson bivariate correlation matrix between 13 soil physicochemical variables and NDVI. Only statistically significant correlations are shown (p &lt; 0.001).</w:t>
            </w:r>
          </w:p>
        </w:tc>
        <w:bookmarkEnd w:id="22"/>
      </w:tr>
    </w:tbl>
    <w:p w14:paraId="5ED79163" w14:textId="137DC59C" w:rsidR="003B41E9" w:rsidRPr="00AF223D" w:rsidRDefault="00000000">
      <w:pPr>
        <w:rPr>
          <w:sz w:val="22"/>
        </w:rPr>
      </w:pPr>
      <w:r w:rsidRPr="00AF223D">
        <w:rPr>
          <w:sz w:val="22"/>
        </w:rPr>
        <w:t>The PCA identified two principal components (PCs) with eigenvalues &gt; 1, together explaining 61.09% of the total variance (</w:t>
      </w:r>
      <w:hyperlink r:id="rId14" w:anchor="bookmark=id.vjhakmvt4jzg">
        <w:r w:rsidR="003B41E9" w:rsidRPr="00AF223D">
          <w:rPr>
            <w:rStyle w:val="Hipervnculo"/>
            <w:color w:val="auto"/>
            <w:sz w:val="22"/>
          </w:rPr>
          <w:t>Table 2</w:t>
        </w:r>
      </w:hyperlink>
      <w:r w:rsidRPr="00AF223D">
        <w:rPr>
          <w:sz w:val="22"/>
        </w:rPr>
        <w:t xml:space="preserve">). PC1 accounted for 41.69% of the variance and showed strong associations with Clay (0.84), Ca (0.81), Sand (–0.80), and OM (0.55), reflecting a continuum of soil nutrient retention capacity and colloidal reactivity. PC2 (19.40%) was defined by a strong positive loading for pH (0.74) and Na (0.51), capturing the dominant gradients of alkalinity and </w:t>
      </w:r>
      <w:proofErr w:type="spellStart"/>
      <w:r w:rsidRPr="00AF223D">
        <w:rPr>
          <w:sz w:val="22"/>
        </w:rPr>
        <w:t>sodicity</w:t>
      </w:r>
      <w:proofErr w:type="spellEnd"/>
      <w:r w:rsidRPr="00AF223D">
        <w:rPr>
          <w:sz w:val="22"/>
        </w:rPr>
        <w:t xml:space="preserve"> that influence soil physical behavior. </w:t>
      </w:r>
      <w:r w:rsidR="00012A75" w:rsidRPr="00AF223D">
        <w:rPr>
          <w:sz w:val="22"/>
        </w:rPr>
        <w:t xml:space="preserve">Based on the highest absolute loadings within each component, the variables selected for the Minimum Data Set (MDS) were pH, Na, Ca, and Clay. These variables captured the principal dimensions of soil variability while minimizing redundancy among indicators. Consequently, they provide a parsimonious representation of the variability contained in the complete dataset, including soil properties that were not retained in the MDS because they did not satisfy the predefined statistical selection criteria. Although variables such as EC, OM, Mg, ECEC, and K were excluded from the final index, their variability is partially represented through their relationships with the selected indicators. Therefore, while the </w:t>
      </w:r>
      <w:proofErr w:type="spellStart"/>
      <w:r w:rsidR="00012A75" w:rsidRPr="00AF223D">
        <w:rPr>
          <w:sz w:val="22"/>
        </w:rPr>
        <w:t>SQIw</w:t>
      </w:r>
      <w:proofErr w:type="spellEnd"/>
      <w:r w:rsidR="00012A75" w:rsidRPr="00AF223D">
        <w:rPr>
          <w:sz w:val="22"/>
        </w:rPr>
        <w:t xml:space="preserve"> is calculated using only four variables, it remains sensitive to identifying management zones that differ in multiple soil properties and overall soil quality.</w:t>
      </w:r>
    </w:p>
    <w:tbl>
      <w:tblPr>
        <w:tblStyle w:val="Table"/>
        <w:tblW w:w="5000" w:type="pct"/>
        <w:tblLayout w:type="fixed"/>
        <w:tblLook w:val="0000" w:firstRow="0" w:lastRow="0" w:firstColumn="0" w:lastColumn="0" w:noHBand="0" w:noVBand="0"/>
      </w:tblPr>
      <w:tblGrid>
        <w:gridCol w:w="9777"/>
      </w:tblGrid>
      <w:tr w:rsidR="00AF223D" w:rsidRPr="00AF223D" w14:paraId="2C2BE282" w14:textId="77777777">
        <w:tc>
          <w:tcPr>
            <w:tcW w:w="7920" w:type="dxa"/>
          </w:tcPr>
          <w:p w14:paraId="0EF16BF1" w14:textId="77777777" w:rsidR="003B41E9" w:rsidRPr="00AF223D" w:rsidRDefault="00000000">
            <w:pPr>
              <w:spacing w:before="200"/>
              <w:jc w:val="left"/>
              <w:rPr>
                <w:sz w:val="22"/>
              </w:rPr>
            </w:pPr>
            <w:bookmarkStart w:id="23" w:name="tbl-id.vjhakmvt4jzg"/>
            <w:r w:rsidRPr="00AF223D">
              <w:rPr>
                <w:sz w:val="22"/>
              </w:rPr>
              <w:lastRenderedPageBreak/>
              <w:t xml:space="preserve">Table 2: </w:t>
            </w:r>
            <w:r w:rsidRPr="00AF223D">
              <w:rPr>
                <w:i/>
                <w:iCs/>
                <w:sz w:val="22"/>
              </w:rPr>
              <w:t>Principal Component Analysis (PCA) of soil variables</w:t>
            </w:r>
          </w:p>
          <w:tbl>
            <w:tblPr>
              <w:tblStyle w:val="Table"/>
              <w:tblW w:w="5000" w:type="pct"/>
              <w:tblLayout w:type="fixed"/>
              <w:tblLook w:val="0020" w:firstRow="1" w:lastRow="0" w:firstColumn="0" w:lastColumn="0" w:noHBand="0" w:noVBand="0"/>
            </w:tblPr>
            <w:tblGrid>
              <w:gridCol w:w="1363"/>
              <w:gridCol w:w="1363"/>
              <w:gridCol w:w="1362"/>
              <w:gridCol w:w="1362"/>
              <w:gridCol w:w="1362"/>
              <w:gridCol w:w="1362"/>
              <w:gridCol w:w="1387"/>
            </w:tblGrid>
            <w:tr w:rsidR="00AF223D" w:rsidRPr="00AF223D" w14:paraId="5AA4DF1A" w14:textId="77777777" w:rsidTr="00C9712A">
              <w:trPr>
                <w:cnfStyle w:val="100000000000" w:firstRow="1" w:lastRow="0" w:firstColumn="0" w:lastColumn="0" w:oddVBand="0" w:evenVBand="0" w:oddHBand="0" w:evenHBand="0" w:firstRowFirstColumn="0" w:firstRowLastColumn="0" w:lastRowFirstColumn="0" w:lastRowLastColumn="0"/>
                <w:tblHeader/>
              </w:trPr>
              <w:tc>
                <w:tcPr>
                  <w:tcW w:w="1363" w:type="dxa"/>
                </w:tcPr>
                <w:p w14:paraId="5EC6C262" w14:textId="77777777" w:rsidR="003B41E9" w:rsidRPr="00AF223D" w:rsidRDefault="00000000">
                  <w:pPr>
                    <w:jc w:val="center"/>
                    <w:rPr>
                      <w:sz w:val="22"/>
                    </w:rPr>
                  </w:pPr>
                  <w:proofErr w:type="spellStart"/>
                  <w:r w:rsidRPr="00AF223D">
                    <w:rPr>
                      <w:bCs/>
                      <w:sz w:val="22"/>
                    </w:rPr>
                    <w:t>PCs</w:t>
                  </w:r>
                  <w:r w:rsidRPr="00AF223D">
                    <w:rPr>
                      <w:bCs/>
                      <w:sz w:val="22"/>
                      <w:vertAlign w:val="superscript"/>
                    </w:rPr>
                    <w:t>a</w:t>
                  </w:r>
                  <w:proofErr w:type="spellEnd"/>
                </w:p>
              </w:tc>
              <w:tc>
                <w:tcPr>
                  <w:tcW w:w="1363" w:type="dxa"/>
                </w:tcPr>
                <w:p w14:paraId="0A1C0E89" w14:textId="77777777" w:rsidR="003B41E9" w:rsidRPr="00AF223D" w:rsidRDefault="00000000">
                  <w:pPr>
                    <w:jc w:val="center"/>
                    <w:rPr>
                      <w:sz w:val="22"/>
                    </w:rPr>
                  </w:pPr>
                  <w:r w:rsidRPr="00AF223D">
                    <w:rPr>
                      <w:bCs/>
                      <w:sz w:val="22"/>
                    </w:rPr>
                    <w:t>PC1</w:t>
                  </w:r>
                </w:p>
              </w:tc>
              <w:tc>
                <w:tcPr>
                  <w:tcW w:w="1362" w:type="dxa"/>
                </w:tcPr>
                <w:p w14:paraId="71664494" w14:textId="77777777" w:rsidR="003B41E9" w:rsidRPr="00AF223D" w:rsidRDefault="00000000">
                  <w:pPr>
                    <w:jc w:val="center"/>
                    <w:rPr>
                      <w:sz w:val="22"/>
                    </w:rPr>
                  </w:pPr>
                  <w:r w:rsidRPr="00AF223D">
                    <w:rPr>
                      <w:bCs/>
                      <w:sz w:val="22"/>
                    </w:rPr>
                    <w:t>PC2</w:t>
                  </w:r>
                </w:p>
              </w:tc>
              <w:tc>
                <w:tcPr>
                  <w:tcW w:w="1362" w:type="dxa"/>
                </w:tcPr>
                <w:p w14:paraId="7B61E569" w14:textId="77777777" w:rsidR="003B41E9" w:rsidRPr="00AF223D" w:rsidRDefault="00000000">
                  <w:pPr>
                    <w:jc w:val="center"/>
                    <w:rPr>
                      <w:sz w:val="22"/>
                    </w:rPr>
                  </w:pPr>
                  <w:r w:rsidRPr="00AF223D">
                    <w:rPr>
                      <w:sz w:val="22"/>
                    </w:rPr>
                    <w:t>PC3</w:t>
                  </w:r>
                </w:p>
              </w:tc>
              <w:tc>
                <w:tcPr>
                  <w:tcW w:w="1362" w:type="dxa"/>
                </w:tcPr>
                <w:p w14:paraId="75AAF2E3" w14:textId="77777777" w:rsidR="003B41E9" w:rsidRPr="00AF223D" w:rsidRDefault="00000000">
                  <w:pPr>
                    <w:jc w:val="center"/>
                    <w:rPr>
                      <w:sz w:val="22"/>
                    </w:rPr>
                  </w:pPr>
                  <w:r w:rsidRPr="00AF223D">
                    <w:rPr>
                      <w:sz w:val="22"/>
                    </w:rPr>
                    <w:t>PC4</w:t>
                  </w:r>
                </w:p>
              </w:tc>
              <w:tc>
                <w:tcPr>
                  <w:tcW w:w="1362" w:type="dxa"/>
                </w:tcPr>
                <w:p w14:paraId="3A34F782" w14:textId="77777777" w:rsidR="003B41E9" w:rsidRPr="00AF223D" w:rsidRDefault="00000000">
                  <w:pPr>
                    <w:jc w:val="center"/>
                    <w:rPr>
                      <w:sz w:val="22"/>
                    </w:rPr>
                  </w:pPr>
                  <w:r w:rsidRPr="00AF223D">
                    <w:rPr>
                      <w:sz w:val="22"/>
                    </w:rPr>
                    <w:t>PC5</w:t>
                  </w:r>
                </w:p>
              </w:tc>
              <w:tc>
                <w:tcPr>
                  <w:tcW w:w="1387" w:type="dxa"/>
                </w:tcPr>
                <w:p w14:paraId="1D08189C" w14:textId="77777777" w:rsidR="003B41E9" w:rsidRPr="00AF223D" w:rsidRDefault="00000000">
                  <w:pPr>
                    <w:jc w:val="center"/>
                    <w:rPr>
                      <w:sz w:val="22"/>
                    </w:rPr>
                  </w:pPr>
                  <w:r w:rsidRPr="00AF223D">
                    <w:rPr>
                      <w:sz w:val="22"/>
                    </w:rPr>
                    <w:t>PC6</w:t>
                  </w:r>
                </w:p>
              </w:tc>
            </w:tr>
            <w:tr w:rsidR="00AF223D" w:rsidRPr="00AF223D" w14:paraId="15D69975" w14:textId="77777777" w:rsidTr="00C9712A">
              <w:tc>
                <w:tcPr>
                  <w:tcW w:w="1363" w:type="dxa"/>
                </w:tcPr>
                <w:p w14:paraId="020FDEC3" w14:textId="77777777" w:rsidR="003B41E9" w:rsidRPr="00AF223D" w:rsidRDefault="00000000">
                  <w:pPr>
                    <w:jc w:val="center"/>
                    <w:rPr>
                      <w:sz w:val="22"/>
                    </w:rPr>
                  </w:pPr>
                  <w:r w:rsidRPr="00AF223D">
                    <w:rPr>
                      <w:sz w:val="22"/>
                    </w:rPr>
                    <w:t>Eigenvalue</w:t>
                  </w:r>
                </w:p>
              </w:tc>
              <w:tc>
                <w:tcPr>
                  <w:tcW w:w="1363" w:type="dxa"/>
                </w:tcPr>
                <w:p w14:paraId="35E18B0C" w14:textId="77777777" w:rsidR="003B41E9" w:rsidRPr="00AF223D" w:rsidRDefault="00000000">
                  <w:pPr>
                    <w:jc w:val="center"/>
                    <w:rPr>
                      <w:sz w:val="22"/>
                    </w:rPr>
                  </w:pPr>
                  <w:r w:rsidRPr="00AF223D">
                    <w:rPr>
                      <w:b/>
                      <w:bCs/>
                      <w:sz w:val="22"/>
                    </w:rPr>
                    <w:t>2.50</w:t>
                  </w:r>
                </w:p>
              </w:tc>
              <w:tc>
                <w:tcPr>
                  <w:tcW w:w="1362" w:type="dxa"/>
                </w:tcPr>
                <w:p w14:paraId="28A02BA5" w14:textId="77777777" w:rsidR="003B41E9" w:rsidRPr="00AF223D" w:rsidRDefault="00000000">
                  <w:pPr>
                    <w:jc w:val="center"/>
                    <w:rPr>
                      <w:sz w:val="22"/>
                    </w:rPr>
                  </w:pPr>
                  <w:r w:rsidRPr="00AF223D">
                    <w:rPr>
                      <w:b/>
                      <w:bCs/>
                      <w:sz w:val="22"/>
                    </w:rPr>
                    <w:t>1.16</w:t>
                  </w:r>
                </w:p>
              </w:tc>
              <w:tc>
                <w:tcPr>
                  <w:tcW w:w="1362" w:type="dxa"/>
                </w:tcPr>
                <w:p w14:paraId="23B73315" w14:textId="77777777" w:rsidR="003B41E9" w:rsidRPr="00AF223D" w:rsidRDefault="00000000">
                  <w:pPr>
                    <w:jc w:val="center"/>
                    <w:rPr>
                      <w:sz w:val="22"/>
                    </w:rPr>
                  </w:pPr>
                  <w:r w:rsidRPr="00AF223D">
                    <w:rPr>
                      <w:sz w:val="22"/>
                    </w:rPr>
                    <w:t>0.97</w:t>
                  </w:r>
                </w:p>
              </w:tc>
              <w:tc>
                <w:tcPr>
                  <w:tcW w:w="1362" w:type="dxa"/>
                </w:tcPr>
                <w:p w14:paraId="462F73D0" w14:textId="77777777" w:rsidR="003B41E9" w:rsidRPr="00AF223D" w:rsidRDefault="00000000">
                  <w:pPr>
                    <w:jc w:val="center"/>
                    <w:rPr>
                      <w:sz w:val="22"/>
                    </w:rPr>
                  </w:pPr>
                  <w:r w:rsidRPr="00AF223D">
                    <w:rPr>
                      <w:sz w:val="22"/>
                    </w:rPr>
                    <w:t>0.67</w:t>
                  </w:r>
                </w:p>
              </w:tc>
              <w:tc>
                <w:tcPr>
                  <w:tcW w:w="1362" w:type="dxa"/>
                </w:tcPr>
                <w:p w14:paraId="257ABB78" w14:textId="77777777" w:rsidR="003B41E9" w:rsidRPr="00AF223D" w:rsidRDefault="00000000">
                  <w:pPr>
                    <w:jc w:val="center"/>
                    <w:rPr>
                      <w:sz w:val="22"/>
                    </w:rPr>
                  </w:pPr>
                  <w:r w:rsidRPr="00AF223D">
                    <w:rPr>
                      <w:sz w:val="22"/>
                    </w:rPr>
                    <w:t>0.41</w:t>
                  </w:r>
                </w:p>
              </w:tc>
              <w:tc>
                <w:tcPr>
                  <w:tcW w:w="1387" w:type="dxa"/>
                </w:tcPr>
                <w:p w14:paraId="7076BA51" w14:textId="77777777" w:rsidR="003B41E9" w:rsidRPr="00AF223D" w:rsidRDefault="00000000">
                  <w:pPr>
                    <w:jc w:val="center"/>
                    <w:rPr>
                      <w:sz w:val="22"/>
                    </w:rPr>
                  </w:pPr>
                  <w:r w:rsidRPr="00AF223D">
                    <w:rPr>
                      <w:sz w:val="22"/>
                    </w:rPr>
                    <w:t>0.27</w:t>
                  </w:r>
                </w:p>
              </w:tc>
            </w:tr>
            <w:tr w:rsidR="00AF223D" w:rsidRPr="00AF223D" w14:paraId="79E9FFB0" w14:textId="77777777" w:rsidTr="00C9712A">
              <w:tc>
                <w:tcPr>
                  <w:tcW w:w="1363" w:type="dxa"/>
                </w:tcPr>
                <w:p w14:paraId="64C9E3DC" w14:textId="77777777" w:rsidR="003B41E9" w:rsidRPr="00AF223D" w:rsidRDefault="00000000">
                  <w:pPr>
                    <w:jc w:val="center"/>
                    <w:rPr>
                      <w:sz w:val="22"/>
                    </w:rPr>
                  </w:pPr>
                  <w:r w:rsidRPr="00AF223D">
                    <w:rPr>
                      <w:sz w:val="22"/>
                    </w:rPr>
                    <w:t>Variance (%)</w:t>
                  </w:r>
                </w:p>
              </w:tc>
              <w:tc>
                <w:tcPr>
                  <w:tcW w:w="1363" w:type="dxa"/>
                </w:tcPr>
                <w:p w14:paraId="30375E44" w14:textId="77777777" w:rsidR="003B41E9" w:rsidRPr="00AF223D" w:rsidRDefault="00000000">
                  <w:pPr>
                    <w:jc w:val="center"/>
                    <w:rPr>
                      <w:sz w:val="22"/>
                    </w:rPr>
                  </w:pPr>
                  <w:r w:rsidRPr="00AF223D">
                    <w:rPr>
                      <w:sz w:val="22"/>
                    </w:rPr>
                    <w:t>41.69</w:t>
                  </w:r>
                </w:p>
              </w:tc>
              <w:tc>
                <w:tcPr>
                  <w:tcW w:w="1362" w:type="dxa"/>
                </w:tcPr>
                <w:p w14:paraId="57282D65" w14:textId="77777777" w:rsidR="003B41E9" w:rsidRPr="00AF223D" w:rsidRDefault="00000000">
                  <w:pPr>
                    <w:jc w:val="center"/>
                    <w:rPr>
                      <w:sz w:val="22"/>
                    </w:rPr>
                  </w:pPr>
                  <w:r w:rsidRPr="00AF223D">
                    <w:rPr>
                      <w:sz w:val="22"/>
                    </w:rPr>
                    <w:t>19.40</w:t>
                  </w:r>
                </w:p>
              </w:tc>
              <w:tc>
                <w:tcPr>
                  <w:tcW w:w="1362" w:type="dxa"/>
                </w:tcPr>
                <w:p w14:paraId="3B625B9A" w14:textId="77777777" w:rsidR="003B41E9" w:rsidRPr="00AF223D" w:rsidRDefault="00000000">
                  <w:pPr>
                    <w:jc w:val="center"/>
                    <w:rPr>
                      <w:sz w:val="22"/>
                    </w:rPr>
                  </w:pPr>
                  <w:r w:rsidRPr="00AF223D">
                    <w:rPr>
                      <w:sz w:val="22"/>
                    </w:rPr>
                    <w:t>16.22</w:t>
                  </w:r>
                </w:p>
              </w:tc>
              <w:tc>
                <w:tcPr>
                  <w:tcW w:w="1362" w:type="dxa"/>
                </w:tcPr>
                <w:p w14:paraId="4760E99A" w14:textId="77777777" w:rsidR="003B41E9" w:rsidRPr="00AF223D" w:rsidRDefault="00000000">
                  <w:pPr>
                    <w:jc w:val="center"/>
                    <w:rPr>
                      <w:sz w:val="22"/>
                    </w:rPr>
                  </w:pPr>
                  <w:r w:rsidRPr="00AF223D">
                    <w:rPr>
                      <w:sz w:val="22"/>
                    </w:rPr>
                    <w:t>11.24</w:t>
                  </w:r>
                </w:p>
              </w:tc>
              <w:tc>
                <w:tcPr>
                  <w:tcW w:w="1362" w:type="dxa"/>
                </w:tcPr>
                <w:p w14:paraId="6BEE9DCC" w14:textId="77777777" w:rsidR="003B41E9" w:rsidRPr="00AF223D" w:rsidRDefault="00000000">
                  <w:pPr>
                    <w:jc w:val="center"/>
                    <w:rPr>
                      <w:sz w:val="22"/>
                    </w:rPr>
                  </w:pPr>
                  <w:r w:rsidRPr="00AF223D">
                    <w:rPr>
                      <w:sz w:val="22"/>
                    </w:rPr>
                    <w:t>6.88</w:t>
                  </w:r>
                </w:p>
              </w:tc>
              <w:tc>
                <w:tcPr>
                  <w:tcW w:w="1387" w:type="dxa"/>
                </w:tcPr>
                <w:p w14:paraId="3C2887AE" w14:textId="77777777" w:rsidR="003B41E9" w:rsidRPr="00AF223D" w:rsidRDefault="00000000">
                  <w:pPr>
                    <w:jc w:val="center"/>
                    <w:rPr>
                      <w:sz w:val="22"/>
                    </w:rPr>
                  </w:pPr>
                  <w:r w:rsidRPr="00AF223D">
                    <w:rPr>
                      <w:sz w:val="22"/>
                    </w:rPr>
                    <w:t>4.57</w:t>
                  </w:r>
                </w:p>
              </w:tc>
            </w:tr>
            <w:tr w:rsidR="00AF223D" w:rsidRPr="00AF223D" w14:paraId="08034C22" w14:textId="77777777" w:rsidTr="00C9712A">
              <w:tc>
                <w:tcPr>
                  <w:tcW w:w="1363" w:type="dxa"/>
                </w:tcPr>
                <w:p w14:paraId="21030F35" w14:textId="77777777" w:rsidR="003B41E9" w:rsidRPr="00AF223D" w:rsidRDefault="00000000">
                  <w:pPr>
                    <w:jc w:val="center"/>
                    <w:rPr>
                      <w:sz w:val="22"/>
                    </w:rPr>
                  </w:pPr>
                  <w:r w:rsidRPr="00AF223D">
                    <w:rPr>
                      <w:sz w:val="22"/>
                    </w:rPr>
                    <w:t>Cumulative Variance (%)</w:t>
                  </w:r>
                </w:p>
              </w:tc>
              <w:tc>
                <w:tcPr>
                  <w:tcW w:w="1363" w:type="dxa"/>
                </w:tcPr>
                <w:p w14:paraId="0D6B18EF" w14:textId="77777777" w:rsidR="003B41E9" w:rsidRPr="00AF223D" w:rsidRDefault="00000000">
                  <w:pPr>
                    <w:jc w:val="center"/>
                    <w:rPr>
                      <w:sz w:val="22"/>
                    </w:rPr>
                  </w:pPr>
                  <w:r w:rsidRPr="00AF223D">
                    <w:rPr>
                      <w:sz w:val="22"/>
                    </w:rPr>
                    <w:t>41.69</w:t>
                  </w:r>
                </w:p>
              </w:tc>
              <w:tc>
                <w:tcPr>
                  <w:tcW w:w="1362" w:type="dxa"/>
                </w:tcPr>
                <w:p w14:paraId="60A83089" w14:textId="77777777" w:rsidR="003B41E9" w:rsidRPr="00AF223D" w:rsidRDefault="00000000">
                  <w:pPr>
                    <w:jc w:val="center"/>
                    <w:rPr>
                      <w:sz w:val="22"/>
                    </w:rPr>
                  </w:pPr>
                  <w:r w:rsidRPr="00AF223D">
                    <w:rPr>
                      <w:sz w:val="22"/>
                    </w:rPr>
                    <w:t>61.09</w:t>
                  </w:r>
                </w:p>
              </w:tc>
              <w:tc>
                <w:tcPr>
                  <w:tcW w:w="1362" w:type="dxa"/>
                </w:tcPr>
                <w:p w14:paraId="2F5ADBF3" w14:textId="77777777" w:rsidR="003B41E9" w:rsidRPr="00AF223D" w:rsidRDefault="00000000">
                  <w:pPr>
                    <w:jc w:val="center"/>
                    <w:rPr>
                      <w:sz w:val="22"/>
                    </w:rPr>
                  </w:pPr>
                  <w:r w:rsidRPr="00AF223D">
                    <w:rPr>
                      <w:sz w:val="22"/>
                    </w:rPr>
                    <w:t>77.31</w:t>
                  </w:r>
                </w:p>
              </w:tc>
              <w:tc>
                <w:tcPr>
                  <w:tcW w:w="1362" w:type="dxa"/>
                </w:tcPr>
                <w:p w14:paraId="4BB4CD7F" w14:textId="77777777" w:rsidR="003B41E9" w:rsidRPr="00AF223D" w:rsidRDefault="00000000">
                  <w:pPr>
                    <w:jc w:val="center"/>
                    <w:rPr>
                      <w:sz w:val="22"/>
                    </w:rPr>
                  </w:pPr>
                  <w:r w:rsidRPr="00AF223D">
                    <w:rPr>
                      <w:sz w:val="22"/>
                    </w:rPr>
                    <w:t>88.55</w:t>
                  </w:r>
                </w:p>
              </w:tc>
              <w:tc>
                <w:tcPr>
                  <w:tcW w:w="1362" w:type="dxa"/>
                </w:tcPr>
                <w:p w14:paraId="723C6144" w14:textId="77777777" w:rsidR="003B41E9" w:rsidRPr="00AF223D" w:rsidRDefault="00000000">
                  <w:pPr>
                    <w:jc w:val="center"/>
                    <w:rPr>
                      <w:sz w:val="22"/>
                    </w:rPr>
                  </w:pPr>
                  <w:r w:rsidRPr="00AF223D">
                    <w:rPr>
                      <w:sz w:val="22"/>
                    </w:rPr>
                    <w:t>95.43</w:t>
                  </w:r>
                </w:p>
              </w:tc>
              <w:tc>
                <w:tcPr>
                  <w:tcW w:w="1387" w:type="dxa"/>
                </w:tcPr>
                <w:p w14:paraId="116C6FA2" w14:textId="77777777" w:rsidR="003B41E9" w:rsidRPr="00AF223D" w:rsidRDefault="00000000">
                  <w:pPr>
                    <w:jc w:val="center"/>
                    <w:rPr>
                      <w:sz w:val="22"/>
                    </w:rPr>
                  </w:pPr>
                  <w:r w:rsidRPr="00AF223D">
                    <w:rPr>
                      <w:sz w:val="22"/>
                    </w:rPr>
                    <w:t>100.00</w:t>
                  </w:r>
                </w:p>
              </w:tc>
            </w:tr>
            <w:tr w:rsidR="00AF223D" w:rsidRPr="00AF223D" w14:paraId="11509B2C" w14:textId="77777777" w:rsidTr="00E74B33">
              <w:tc>
                <w:tcPr>
                  <w:tcW w:w="9561" w:type="dxa"/>
                  <w:gridSpan w:val="7"/>
                </w:tcPr>
                <w:p w14:paraId="7DB12E78" w14:textId="5D1FE383" w:rsidR="00C9712A" w:rsidRPr="00AF223D" w:rsidRDefault="00C9712A" w:rsidP="00C9712A">
                  <w:pPr>
                    <w:jc w:val="center"/>
                    <w:rPr>
                      <w:sz w:val="22"/>
                    </w:rPr>
                  </w:pPr>
                  <w:r w:rsidRPr="00AF223D">
                    <w:rPr>
                      <w:b/>
                      <w:bCs/>
                      <w:sz w:val="22"/>
                    </w:rPr>
                    <w:t>Factor loadings/eigen vector for each variable</w:t>
                  </w:r>
                  <w:r w:rsidR="00911843">
                    <w:rPr>
                      <w:b/>
                      <w:bCs/>
                      <w:sz w:val="22"/>
                    </w:rPr>
                    <w:t xml:space="preserve"> </w:t>
                  </w:r>
                  <w:r w:rsidRPr="00911843">
                    <w:rPr>
                      <w:b/>
                      <w:bCs/>
                      <w:sz w:val="22"/>
                      <w:vertAlign w:val="superscript"/>
                    </w:rPr>
                    <w:t>b, c</w:t>
                  </w:r>
                </w:p>
              </w:tc>
            </w:tr>
            <w:tr w:rsidR="00AF223D" w:rsidRPr="00AF223D" w14:paraId="79334BC6" w14:textId="77777777" w:rsidTr="00C9712A">
              <w:tc>
                <w:tcPr>
                  <w:tcW w:w="1363" w:type="dxa"/>
                </w:tcPr>
                <w:p w14:paraId="5C5D97E9" w14:textId="77777777" w:rsidR="003B41E9" w:rsidRPr="00AF223D" w:rsidRDefault="00000000">
                  <w:pPr>
                    <w:jc w:val="center"/>
                    <w:rPr>
                      <w:sz w:val="22"/>
                    </w:rPr>
                  </w:pPr>
                  <w:r w:rsidRPr="00AF223D">
                    <w:rPr>
                      <w:sz w:val="22"/>
                    </w:rPr>
                    <w:t>pH</w:t>
                  </w:r>
                </w:p>
              </w:tc>
              <w:tc>
                <w:tcPr>
                  <w:tcW w:w="1363" w:type="dxa"/>
                </w:tcPr>
                <w:p w14:paraId="0D99B6F1" w14:textId="77777777" w:rsidR="003B41E9" w:rsidRPr="00AF223D" w:rsidRDefault="00000000">
                  <w:pPr>
                    <w:jc w:val="center"/>
                    <w:rPr>
                      <w:sz w:val="22"/>
                    </w:rPr>
                  </w:pPr>
                  <w:r w:rsidRPr="00AF223D">
                    <w:rPr>
                      <w:sz w:val="22"/>
                    </w:rPr>
                    <w:t>0.37</w:t>
                  </w:r>
                </w:p>
              </w:tc>
              <w:tc>
                <w:tcPr>
                  <w:tcW w:w="1362" w:type="dxa"/>
                </w:tcPr>
                <w:p w14:paraId="5D0BE13D" w14:textId="77777777" w:rsidR="003B41E9" w:rsidRPr="00AF223D" w:rsidRDefault="00000000">
                  <w:pPr>
                    <w:jc w:val="center"/>
                    <w:rPr>
                      <w:sz w:val="22"/>
                    </w:rPr>
                  </w:pPr>
                  <w:r w:rsidRPr="00AF223D">
                    <w:rPr>
                      <w:b/>
                      <w:bCs/>
                      <w:i/>
                      <w:iCs/>
                      <w:sz w:val="22"/>
                    </w:rPr>
                    <w:t>0.75</w:t>
                  </w:r>
                </w:p>
              </w:tc>
              <w:tc>
                <w:tcPr>
                  <w:tcW w:w="1362" w:type="dxa"/>
                </w:tcPr>
                <w:p w14:paraId="2BCCC903" w14:textId="77777777" w:rsidR="003B41E9" w:rsidRPr="00AF223D" w:rsidRDefault="00000000">
                  <w:pPr>
                    <w:jc w:val="center"/>
                    <w:rPr>
                      <w:sz w:val="22"/>
                    </w:rPr>
                  </w:pPr>
                  <w:r w:rsidRPr="00AF223D">
                    <w:rPr>
                      <w:sz w:val="22"/>
                    </w:rPr>
                    <w:t>-0.39</w:t>
                  </w:r>
                </w:p>
              </w:tc>
              <w:tc>
                <w:tcPr>
                  <w:tcW w:w="1362" w:type="dxa"/>
                </w:tcPr>
                <w:p w14:paraId="6A48487C" w14:textId="77777777" w:rsidR="003B41E9" w:rsidRPr="00AF223D" w:rsidRDefault="00000000">
                  <w:pPr>
                    <w:jc w:val="center"/>
                    <w:rPr>
                      <w:sz w:val="22"/>
                    </w:rPr>
                  </w:pPr>
                  <w:r w:rsidRPr="00AF223D">
                    <w:rPr>
                      <w:sz w:val="22"/>
                    </w:rPr>
                    <w:t>0.30</w:t>
                  </w:r>
                </w:p>
              </w:tc>
              <w:tc>
                <w:tcPr>
                  <w:tcW w:w="1362" w:type="dxa"/>
                </w:tcPr>
                <w:p w14:paraId="7211B96D" w14:textId="77777777" w:rsidR="003B41E9" w:rsidRPr="00AF223D" w:rsidRDefault="00000000">
                  <w:pPr>
                    <w:jc w:val="center"/>
                    <w:rPr>
                      <w:sz w:val="22"/>
                    </w:rPr>
                  </w:pPr>
                  <w:r w:rsidRPr="00AF223D">
                    <w:rPr>
                      <w:sz w:val="22"/>
                    </w:rPr>
                    <w:t>-0.23</w:t>
                  </w:r>
                </w:p>
              </w:tc>
              <w:tc>
                <w:tcPr>
                  <w:tcW w:w="1387" w:type="dxa"/>
                </w:tcPr>
                <w:p w14:paraId="2D037885" w14:textId="77777777" w:rsidR="003B41E9" w:rsidRPr="00AF223D" w:rsidRDefault="00000000">
                  <w:pPr>
                    <w:jc w:val="center"/>
                    <w:rPr>
                      <w:sz w:val="22"/>
                    </w:rPr>
                  </w:pPr>
                  <w:r w:rsidRPr="00AF223D">
                    <w:rPr>
                      <w:sz w:val="22"/>
                    </w:rPr>
                    <w:t>0.12</w:t>
                  </w:r>
                </w:p>
              </w:tc>
            </w:tr>
            <w:tr w:rsidR="00AF223D" w:rsidRPr="00AF223D" w14:paraId="5D25A515" w14:textId="77777777" w:rsidTr="00C9712A">
              <w:tc>
                <w:tcPr>
                  <w:tcW w:w="1363" w:type="dxa"/>
                </w:tcPr>
                <w:p w14:paraId="3FEED361" w14:textId="77777777" w:rsidR="003B41E9" w:rsidRPr="00AF223D" w:rsidRDefault="00000000">
                  <w:pPr>
                    <w:jc w:val="center"/>
                    <w:rPr>
                      <w:sz w:val="22"/>
                    </w:rPr>
                  </w:pPr>
                  <w:r w:rsidRPr="00AF223D">
                    <w:rPr>
                      <w:sz w:val="22"/>
                    </w:rPr>
                    <w:t>Na (</w:t>
                  </w:r>
                  <w:proofErr w:type="spellStart"/>
                  <w:r w:rsidRPr="00AF223D">
                    <w:rPr>
                      <w:sz w:val="22"/>
                    </w:rPr>
                    <w:t>cmol</w:t>
                  </w:r>
                  <w:proofErr w:type="spellEnd"/>
                  <w:r w:rsidRPr="00AF223D">
                    <w:rPr>
                      <w:sz w:val="22"/>
                    </w:rPr>
                    <w:t xml:space="preserve"> kg </w:t>
                  </w:r>
                  <w:r w:rsidRPr="00AF223D">
                    <w:rPr>
                      <w:sz w:val="22"/>
                      <w:vertAlign w:val="superscript"/>
                    </w:rPr>
                    <w:t>-1</w:t>
                  </w:r>
                  <w:r w:rsidRPr="00AF223D">
                    <w:rPr>
                      <w:sz w:val="22"/>
                    </w:rPr>
                    <w:t>)</w:t>
                  </w:r>
                </w:p>
              </w:tc>
              <w:tc>
                <w:tcPr>
                  <w:tcW w:w="1363" w:type="dxa"/>
                </w:tcPr>
                <w:p w14:paraId="4830122B" w14:textId="77777777" w:rsidR="003B41E9" w:rsidRPr="00AF223D" w:rsidRDefault="00000000">
                  <w:pPr>
                    <w:jc w:val="center"/>
                    <w:rPr>
                      <w:sz w:val="22"/>
                    </w:rPr>
                  </w:pPr>
                  <w:r w:rsidRPr="00AF223D">
                    <w:rPr>
                      <w:sz w:val="22"/>
                    </w:rPr>
                    <w:t>0.25</w:t>
                  </w:r>
                </w:p>
              </w:tc>
              <w:tc>
                <w:tcPr>
                  <w:tcW w:w="1362" w:type="dxa"/>
                </w:tcPr>
                <w:p w14:paraId="7735E4F8" w14:textId="77777777" w:rsidR="003B41E9" w:rsidRPr="00AF223D" w:rsidRDefault="00000000">
                  <w:pPr>
                    <w:jc w:val="center"/>
                    <w:rPr>
                      <w:sz w:val="22"/>
                    </w:rPr>
                  </w:pPr>
                  <w:r w:rsidRPr="00AF223D">
                    <w:rPr>
                      <w:b/>
                      <w:bCs/>
                      <w:i/>
                      <w:iCs/>
                      <w:sz w:val="22"/>
                    </w:rPr>
                    <w:t>0.51</w:t>
                  </w:r>
                </w:p>
              </w:tc>
              <w:tc>
                <w:tcPr>
                  <w:tcW w:w="1362" w:type="dxa"/>
                </w:tcPr>
                <w:p w14:paraId="699DE6C4" w14:textId="77777777" w:rsidR="003B41E9" w:rsidRPr="00AF223D" w:rsidRDefault="00000000">
                  <w:pPr>
                    <w:jc w:val="center"/>
                    <w:rPr>
                      <w:sz w:val="22"/>
                    </w:rPr>
                  </w:pPr>
                  <w:r w:rsidRPr="00AF223D">
                    <w:rPr>
                      <w:b/>
                      <w:bCs/>
                      <w:sz w:val="22"/>
                    </w:rPr>
                    <w:t>0.79</w:t>
                  </w:r>
                </w:p>
              </w:tc>
              <w:tc>
                <w:tcPr>
                  <w:tcW w:w="1362" w:type="dxa"/>
                </w:tcPr>
                <w:p w14:paraId="69AAE3F6" w14:textId="77777777" w:rsidR="003B41E9" w:rsidRPr="00AF223D" w:rsidRDefault="00000000">
                  <w:pPr>
                    <w:jc w:val="center"/>
                    <w:rPr>
                      <w:sz w:val="22"/>
                    </w:rPr>
                  </w:pPr>
                  <w:r w:rsidRPr="00AF223D">
                    <w:rPr>
                      <w:sz w:val="22"/>
                    </w:rPr>
                    <w:t>-0.19</w:t>
                  </w:r>
                </w:p>
              </w:tc>
              <w:tc>
                <w:tcPr>
                  <w:tcW w:w="1362" w:type="dxa"/>
                </w:tcPr>
                <w:p w14:paraId="5BF850BF" w14:textId="77777777" w:rsidR="003B41E9" w:rsidRPr="00AF223D" w:rsidRDefault="00000000">
                  <w:pPr>
                    <w:jc w:val="center"/>
                    <w:rPr>
                      <w:sz w:val="22"/>
                    </w:rPr>
                  </w:pPr>
                  <w:r w:rsidRPr="00AF223D">
                    <w:rPr>
                      <w:sz w:val="22"/>
                    </w:rPr>
                    <w:t>-0.12</w:t>
                  </w:r>
                </w:p>
              </w:tc>
              <w:tc>
                <w:tcPr>
                  <w:tcW w:w="1387" w:type="dxa"/>
                </w:tcPr>
                <w:p w14:paraId="603E9D4E" w14:textId="77777777" w:rsidR="003B41E9" w:rsidRPr="00AF223D" w:rsidRDefault="00000000">
                  <w:pPr>
                    <w:jc w:val="center"/>
                    <w:rPr>
                      <w:sz w:val="22"/>
                    </w:rPr>
                  </w:pPr>
                  <w:r w:rsidRPr="00AF223D">
                    <w:rPr>
                      <w:sz w:val="22"/>
                    </w:rPr>
                    <w:t>-0.08</w:t>
                  </w:r>
                </w:p>
              </w:tc>
            </w:tr>
            <w:tr w:rsidR="00AF223D" w:rsidRPr="00AF223D" w14:paraId="3270E3B0" w14:textId="77777777" w:rsidTr="00C9712A">
              <w:tc>
                <w:tcPr>
                  <w:tcW w:w="1363" w:type="dxa"/>
                </w:tcPr>
                <w:p w14:paraId="083AF81D" w14:textId="77777777" w:rsidR="003B41E9" w:rsidRPr="00AF223D" w:rsidRDefault="00000000">
                  <w:pPr>
                    <w:jc w:val="center"/>
                    <w:rPr>
                      <w:sz w:val="22"/>
                    </w:rPr>
                  </w:pPr>
                  <w:r w:rsidRPr="00AF223D">
                    <w:rPr>
                      <w:sz w:val="22"/>
                    </w:rPr>
                    <w:t>OM (%)</w:t>
                  </w:r>
                </w:p>
              </w:tc>
              <w:tc>
                <w:tcPr>
                  <w:tcW w:w="1363" w:type="dxa"/>
                </w:tcPr>
                <w:p w14:paraId="594D3013" w14:textId="77777777" w:rsidR="003B41E9" w:rsidRPr="00AF223D" w:rsidRDefault="00000000">
                  <w:pPr>
                    <w:jc w:val="center"/>
                    <w:rPr>
                      <w:sz w:val="22"/>
                    </w:rPr>
                  </w:pPr>
                  <w:r w:rsidRPr="00AF223D">
                    <w:rPr>
                      <w:b/>
                      <w:bCs/>
                      <w:sz w:val="22"/>
                    </w:rPr>
                    <w:t>0.55</w:t>
                  </w:r>
                </w:p>
              </w:tc>
              <w:tc>
                <w:tcPr>
                  <w:tcW w:w="1362" w:type="dxa"/>
                </w:tcPr>
                <w:p w14:paraId="013A23F2" w14:textId="77777777" w:rsidR="003B41E9" w:rsidRPr="00AF223D" w:rsidRDefault="00000000">
                  <w:pPr>
                    <w:jc w:val="center"/>
                    <w:rPr>
                      <w:sz w:val="22"/>
                    </w:rPr>
                  </w:pPr>
                  <w:r w:rsidRPr="00AF223D">
                    <w:rPr>
                      <w:sz w:val="22"/>
                    </w:rPr>
                    <w:t>-0.43</w:t>
                  </w:r>
                </w:p>
              </w:tc>
              <w:tc>
                <w:tcPr>
                  <w:tcW w:w="1362" w:type="dxa"/>
                </w:tcPr>
                <w:p w14:paraId="2E81A2A1" w14:textId="77777777" w:rsidR="003B41E9" w:rsidRPr="00AF223D" w:rsidRDefault="00000000">
                  <w:pPr>
                    <w:jc w:val="center"/>
                    <w:rPr>
                      <w:sz w:val="22"/>
                    </w:rPr>
                  </w:pPr>
                  <w:r w:rsidRPr="00AF223D">
                    <w:rPr>
                      <w:sz w:val="22"/>
                    </w:rPr>
                    <w:t>0.33</w:t>
                  </w:r>
                </w:p>
              </w:tc>
              <w:tc>
                <w:tcPr>
                  <w:tcW w:w="1362" w:type="dxa"/>
                </w:tcPr>
                <w:p w14:paraId="3E48B84E" w14:textId="77777777" w:rsidR="003B41E9" w:rsidRPr="00AF223D" w:rsidRDefault="00000000">
                  <w:pPr>
                    <w:jc w:val="center"/>
                    <w:rPr>
                      <w:sz w:val="22"/>
                    </w:rPr>
                  </w:pPr>
                  <w:r w:rsidRPr="00AF223D">
                    <w:rPr>
                      <w:b/>
                      <w:bCs/>
                      <w:sz w:val="22"/>
                    </w:rPr>
                    <w:t>0.62</w:t>
                  </w:r>
                </w:p>
              </w:tc>
              <w:tc>
                <w:tcPr>
                  <w:tcW w:w="1362" w:type="dxa"/>
                </w:tcPr>
                <w:p w14:paraId="06D36810" w14:textId="77777777" w:rsidR="003B41E9" w:rsidRPr="00AF223D" w:rsidRDefault="00000000">
                  <w:pPr>
                    <w:jc w:val="center"/>
                    <w:rPr>
                      <w:sz w:val="22"/>
                    </w:rPr>
                  </w:pPr>
                  <w:r w:rsidRPr="00AF223D">
                    <w:rPr>
                      <w:sz w:val="22"/>
                    </w:rPr>
                    <w:t>-0.11</w:t>
                  </w:r>
                </w:p>
              </w:tc>
              <w:tc>
                <w:tcPr>
                  <w:tcW w:w="1387" w:type="dxa"/>
                </w:tcPr>
                <w:p w14:paraId="774BCFD4" w14:textId="77777777" w:rsidR="003B41E9" w:rsidRPr="00AF223D" w:rsidRDefault="00000000">
                  <w:pPr>
                    <w:jc w:val="center"/>
                    <w:rPr>
                      <w:sz w:val="22"/>
                    </w:rPr>
                  </w:pPr>
                  <w:r w:rsidRPr="00AF223D">
                    <w:rPr>
                      <w:sz w:val="22"/>
                    </w:rPr>
                    <w:t>-0.02</w:t>
                  </w:r>
                </w:p>
              </w:tc>
            </w:tr>
            <w:tr w:rsidR="00AF223D" w:rsidRPr="00AF223D" w14:paraId="439FD7F6" w14:textId="77777777" w:rsidTr="00C9712A">
              <w:tc>
                <w:tcPr>
                  <w:tcW w:w="1363" w:type="dxa"/>
                </w:tcPr>
                <w:p w14:paraId="2FDBB187" w14:textId="77777777" w:rsidR="003B41E9" w:rsidRPr="00AF223D" w:rsidRDefault="00000000">
                  <w:pPr>
                    <w:jc w:val="center"/>
                    <w:rPr>
                      <w:sz w:val="22"/>
                    </w:rPr>
                  </w:pPr>
                  <w:r w:rsidRPr="00AF223D">
                    <w:rPr>
                      <w:sz w:val="22"/>
                    </w:rPr>
                    <w:t>Ca (</w:t>
                  </w:r>
                  <w:proofErr w:type="spellStart"/>
                  <w:r w:rsidRPr="00AF223D">
                    <w:rPr>
                      <w:sz w:val="22"/>
                    </w:rPr>
                    <w:t>cmol</w:t>
                  </w:r>
                  <w:proofErr w:type="spellEnd"/>
                  <w:r w:rsidRPr="00AF223D">
                    <w:rPr>
                      <w:sz w:val="22"/>
                    </w:rPr>
                    <w:t xml:space="preserve"> kg </w:t>
                  </w:r>
                  <w:r w:rsidRPr="00AF223D">
                    <w:rPr>
                      <w:sz w:val="22"/>
                      <w:vertAlign w:val="superscript"/>
                    </w:rPr>
                    <w:t>-1</w:t>
                  </w:r>
                  <w:r w:rsidRPr="00AF223D">
                    <w:rPr>
                      <w:sz w:val="22"/>
                    </w:rPr>
                    <w:t>)</w:t>
                  </w:r>
                </w:p>
              </w:tc>
              <w:tc>
                <w:tcPr>
                  <w:tcW w:w="1363" w:type="dxa"/>
                </w:tcPr>
                <w:p w14:paraId="1A3652AD" w14:textId="77777777" w:rsidR="003B41E9" w:rsidRPr="00AF223D" w:rsidRDefault="00000000">
                  <w:pPr>
                    <w:jc w:val="center"/>
                    <w:rPr>
                      <w:sz w:val="22"/>
                    </w:rPr>
                  </w:pPr>
                  <w:r w:rsidRPr="00AF223D">
                    <w:rPr>
                      <w:b/>
                      <w:bCs/>
                      <w:i/>
                      <w:iCs/>
                      <w:sz w:val="22"/>
                    </w:rPr>
                    <w:t>0.81</w:t>
                  </w:r>
                </w:p>
              </w:tc>
              <w:tc>
                <w:tcPr>
                  <w:tcW w:w="1362" w:type="dxa"/>
                </w:tcPr>
                <w:p w14:paraId="310E6707" w14:textId="77777777" w:rsidR="003B41E9" w:rsidRPr="00AF223D" w:rsidRDefault="00000000">
                  <w:pPr>
                    <w:jc w:val="center"/>
                    <w:rPr>
                      <w:sz w:val="22"/>
                    </w:rPr>
                  </w:pPr>
                  <w:r w:rsidRPr="00AF223D">
                    <w:rPr>
                      <w:sz w:val="22"/>
                    </w:rPr>
                    <w:t>0.25</w:t>
                  </w:r>
                </w:p>
              </w:tc>
              <w:tc>
                <w:tcPr>
                  <w:tcW w:w="1362" w:type="dxa"/>
                </w:tcPr>
                <w:p w14:paraId="10934985" w14:textId="77777777" w:rsidR="003B41E9" w:rsidRPr="00AF223D" w:rsidRDefault="00000000">
                  <w:pPr>
                    <w:jc w:val="center"/>
                    <w:rPr>
                      <w:sz w:val="22"/>
                    </w:rPr>
                  </w:pPr>
                  <w:r w:rsidRPr="00AF223D">
                    <w:rPr>
                      <w:sz w:val="22"/>
                    </w:rPr>
                    <w:t>-0.06</w:t>
                  </w:r>
                </w:p>
              </w:tc>
              <w:tc>
                <w:tcPr>
                  <w:tcW w:w="1362" w:type="dxa"/>
                </w:tcPr>
                <w:p w14:paraId="7D781BD9" w14:textId="77777777" w:rsidR="003B41E9" w:rsidRPr="00AF223D" w:rsidRDefault="00000000">
                  <w:pPr>
                    <w:jc w:val="center"/>
                    <w:rPr>
                      <w:sz w:val="22"/>
                    </w:rPr>
                  </w:pPr>
                  <w:r w:rsidRPr="00AF223D">
                    <w:rPr>
                      <w:sz w:val="22"/>
                    </w:rPr>
                    <w:t>0.07</w:t>
                  </w:r>
                </w:p>
              </w:tc>
              <w:tc>
                <w:tcPr>
                  <w:tcW w:w="1362" w:type="dxa"/>
                </w:tcPr>
                <w:p w14:paraId="03D15E4E" w14:textId="77777777" w:rsidR="003B41E9" w:rsidRPr="00AF223D" w:rsidRDefault="00000000">
                  <w:pPr>
                    <w:jc w:val="center"/>
                    <w:rPr>
                      <w:sz w:val="22"/>
                    </w:rPr>
                  </w:pPr>
                  <w:r w:rsidRPr="00AF223D">
                    <w:rPr>
                      <w:b/>
                      <w:bCs/>
                      <w:sz w:val="22"/>
                    </w:rPr>
                    <w:t>0.51</w:t>
                  </w:r>
                </w:p>
              </w:tc>
              <w:tc>
                <w:tcPr>
                  <w:tcW w:w="1387" w:type="dxa"/>
                </w:tcPr>
                <w:p w14:paraId="121B7D3A" w14:textId="77777777" w:rsidR="003B41E9" w:rsidRPr="00AF223D" w:rsidRDefault="00000000">
                  <w:pPr>
                    <w:jc w:val="center"/>
                    <w:rPr>
                      <w:sz w:val="22"/>
                    </w:rPr>
                  </w:pPr>
                  <w:r w:rsidRPr="00AF223D">
                    <w:rPr>
                      <w:sz w:val="22"/>
                    </w:rPr>
                    <w:t>-0.10</w:t>
                  </w:r>
                </w:p>
              </w:tc>
            </w:tr>
            <w:tr w:rsidR="00AF223D" w:rsidRPr="00AF223D" w14:paraId="6F15EF5E" w14:textId="77777777" w:rsidTr="00C9712A">
              <w:tc>
                <w:tcPr>
                  <w:tcW w:w="1363" w:type="dxa"/>
                </w:tcPr>
                <w:p w14:paraId="662CD38E" w14:textId="77777777" w:rsidR="003B41E9" w:rsidRPr="00AF223D" w:rsidRDefault="00000000">
                  <w:pPr>
                    <w:jc w:val="center"/>
                    <w:rPr>
                      <w:sz w:val="22"/>
                    </w:rPr>
                  </w:pPr>
                  <w:r w:rsidRPr="00AF223D">
                    <w:rPr>
                      <w:sz w:val="22"/>
                    </w:rPr>
                    <w:t>Sand (%)</w:t>
                  </w:r>
                </w:p>
              </w:tc>
              <w:tc>
                <w:tcPr>
                  <w:tcW w:w="1363" w:type="dxa"/>
                </w:tcPr>
                <w:p w14:paraId="60BCCA99" w14:textId="77777777" w:rsidR="003B41E9" w:rsidRPr="00AF223D" w:rsidRDefault="00000000">
                  <w:pPr>
                    <w:jc w:val="center"/>
                    <w:rPr>
                      <w:sz w:val="22"/>
                    </w:rPr>
                  </w:pPr>
                  <w:r w:rsidRPr="00AF223D">
                    <w:rPr>
                      <w:b/>
                      <w:bCs/>
                      <w:sz w:val="22"/>
                    </w:rPr>
                    <w:t>-0.80</w:t>
                  </w:r>
                </w:p>
              </w:tc>
              <w:tc>
                <w:tcPr>
                  <w:tcW w:w="1362" w:type="dxa"/>
                </w:tcPr>
                <w:p w14:paraId="45B52B85" w14:textId="77777777" w:rsidR="003B41E9" w:rsidRPr="00AF223D" w:rsidRDefault="00000000">
                  <w:pPr>
                    <w:jc w:val="center"/>
                    <w:rPr>
                      <w:sz w:val="22"/>
                    </w:rPr>
                  </w:pPr>
                  <w:r w:rsidRPr="00AF223D">
                    <w:rPr>
                      <w:sz w:val="22"/>
                    </w:rPr>
                    <w:t>0.20</w:t>
                  </w:r>
                </w:p>
              </w:tc>
              <w:tc>
                <w:tcPr>
                  <w:tcW w:w="1362" w:type="dxa"/>
                </w:tcPr>
                <w:p w14:paraId="52536249" w14:textId="77777777" w:rsidR="003B41E9" w:rsidRPr="00AF223D" w:rsidRDefault="00000000">
                  <w:pPr>
                    <w:jc w:val="center"/>
                    <w:rPr>
                      <w:sz w:val="22"/>
                    </w:rPr>
                  </w:pPr>
                  <w:r w:rsidRPr="00AF223D">
                    <w:rPr>
                      <w:sz w:val="22"/>
                    </w:rPr>
                    <w:t>0.29</w:t>
                  </w:r>
                </w:p>
              </w:tc>
              <w:tc>
                <w:tcPr>
                  <w:tcW w:w="1362" w:type="dxa"/>
                </w:tcPr>
                <w:p w14:paraId="63EE639B" w14:textId="77777777" w:rsidR="003B41E9" w:rsidRPr="00AF223D" w:rsidRDefault="00000000">
                  <w:pPr>
                    <w:jc w:val="center"/>
                    <w:rPr>
                      <w:sz w:val="22"/>
                    </w:rPr>
                  </w:pPr>
                  <w:r w:rsidRPr="00AF223D">
                    <w:rPr>
                      <w:sz w:val="22"/>
                    </w:rPr>
                    <w:t>0.27</w:t>
                  </w:r>
                </w:p>
              </w:tc>
              <w:tc>
                <w:tcPr>
                  <w:tcW w:w="1362" w:type="dxa"/>
                </w:tcPr>
                <w:p w14:paraId="4B703063" w14:textId="77777777" w:rsidR="003B41E9" w:rsidRPr="00AF223D" w:rsidRDefault="00000000">
                  <w:pPr>
                    <w:jc w:val="center"/>
                    <w:rPr>
                      <w:sz w:val="22"/>
                    </w:rPr>
                  </w:pPr>
                  <w:r w:rsidRPr="00AF223D">
                    <w:rPr>
                      <w:sz w:val="22"/>
                    </w:rPr>
                    <w:t>0.25</w:t>
                  </w:r>
                </w:p>
              </w:tc>
              <w:tc>
                <w:tcPr>
                  <w:tcW w:w="1387" w:type="dxa"/>
                </w:tcPr>
                <w:p w14:paraId="29FD2234" w14:textId="77777777" w:rsidR="003B41E9" w:rsidRPr="00AF223D" w:rsidRDefault="00000000">
                  <w:pPr>
                    <w:jc w:val="center"/>
                    <w:rPr>
                      <w:sz w:val="22"/>
                    </w:rPr>
                  </w:pPr>
                  <w:r w:rsidRPr="00AF223D">
                    <w:rPr>
                      <w:sz w:val="22"/>
                    </w:rPr>
                    <w:t>0.31</w:t>
                  </w:r>
                </w:p>
              </w:tc>
            </w:tr>
            <w:tr w:rsidR="00AF223D" w:rsidRPr="00AF223D" w14:paraId="068192A3" w14:textId="77777777" w:rsidTr="00C9712A">
              <w:tc>
                <w:tcPr>
                  <w:tcW w:w="1363" w:type="dxa"/>
                </w:tcPr>
                <w:p w14:paraId="378CD81E" w14:textId="77777777" w:rsidR="003B41E9" w:rsidRPr="00AF223D" w:rsidRDefault="00000000">
                  <w:pPr>
                    <w:jc w:val="center"/>
                    <w:rPr>
                      <w:sz w:val="22"/>
                    </w:rPr>
                  </w:pPr>
                  <w:r w:rsidRPr="00AF223D">
                    <w:rPr>
                      <w:sz w:val="22"/>
                    </w:rPr>
                    <w:t>Clay (%)</w:t>
                  </w:r>
                </w:p>
              </w:tc>
              <w:tc>
                <w:tcPr>
                  <w:tcW w:w="1363" w:type="dxa"/>
                </w:tcPr>
                <w:p w14:paraId="314BD130" w14:textId="77777777" w:rsidR="003B41E9" w:rsidRPr="00AF223D" w:rsidRDefault="00000000">
                  <w:pPr>
                    <w:jc w:val="center"/>
                    <w:rPr>
                      <w:sz w:val="22"/>
                    </w:rPr>
                  </w:pPr>
                  <w:r w:rsidRPr="00AF223D">
                    <w:rPr>
                      <w:b/>
                      <w:bCs/>
                      <w:i/>
                      <w:iCs/>
                      <w:sz w:val="22"/>
                    </w:rPr>
                    <w:t>0.84</w:t>
                  </w:r>
                </w:p>
              </w:tc>
              <w:tc>
                <w:tcPr>
                  <w:tcW w:w="1362" w:type="dxa"/>
                </w:tcPr>
                <w:p w14:paraId="44A4F38E" w14:textId="77777777" w:rsidR="003B41E9" w:rsidRPr="00AF223D" w:rsidRDefault="00000000">
                  <w:pPr>
                    <w:jc w:val="center"/>
                    <w:rPr>
                      <w:sz w:val="22"/>
                    </w:rPr>
                  </w:pPr>
                  <w:r w:rsidRPr="00AF223D">
                    <w:rPr>
                      <w:sz w:val="22"/>
                    </w:rPr>
                    <w:t>-0.24</w:t>
                  </w:r>
                </w:p>
              </w:tc>
              <w:tc>
                <w:tcPr>
                  <w:tcW w:w="1362" w:type="dxa"/>
                </w:tcPr>
                <w:p w14:paraId="0720759E" w14:textId="77777777" w:rsidR="003B41E9" w:rsidRPr="00AF223D" w:rsidRDefault="00000000">
                  <w:pPr>
                    <w:jc w:val="center"/>
                    <w:rPr>
                      <w:sz w:val="22"/>
                    </w:rPr>
                  </w:pPr>
                  <w:r w:rsidRPr="00AF223D">
                    <w:rPr>
                      <w:sz w:val="22"/>
                    </w:rPr>
                    <w:t>0.05</w:t>
                  </w:r>
                </w:p>
              </w:tc>
              <w:tc>
                <w:tcPr>
                  <w:tcW w:w="1362" w:type="dxa"/>
                </w:tcPr>
                <w:p w14:paraId="034CD883" w14:textId="77777777" w:rsidR="003B41E9" w:rsidRPr="00AF223D" w:rsidRDefault="00000000">
                  <w:pPr>
                    <w:jc w:val="center"/>
                    <w:rPr>
                      <w:sz w:val="22"/>
                    </w:rPr>
                  </w:pPr>
                  <w:r w:rsidRPr="00AF223D">
                    <w:rPr>
                      <w:sz w:val="22"/>
                    </w:rPr>
                    <w:t>-0.30</w:t>
                  </w:r>
                </w:p>
              </w:tc>
              <w:tc>
                <w:tcPr>
                  <w:tcW w:w="1362" w:type="dxa"/>
                </w:tcPr>
                <w:p w14:paraId="361AD037" w14:textId="77777777" w:rsidR="003B41E9" w:rsidRPr="00AF223D" w:rsidRDefault="00000000">
                  <w:pPr>
                    <w:jc w:val="center"/>
                    <w:rPr>
                      <w:sz w:val="22"/>
                    </w:rPr>
                  </w:pPr>
                  <w:r w:rsidRPr="00AF223D">
                    <w:rPr>
                      <w:sz w:val="22"/>
                    </w:rPr>
                    <w:t>-0.04</w:t>
                  </w:r>
                </w:p>
              </w:tc>
              <w:tc>
                <w:tcPr>
                  <w:tcW w:w="1387" w:type="dxa"/>
                </w:tcPr>
                <w:p w14:paraId="3DB2916B" w14:textId="77777777" w:rsidR="003B41E9" w:rsidRPr="00AF223D" w:rsidRDefault="00000000">
                  <w:pPr>
                    <w:jc w:val="center"/>
                    <w:rPr>
                      <w:sz w:val="22"/>
                    </w:rPr>
                  </w:pPr>
                  <w:r w:rsidRPr="00AF223D">
                    <w:rPr>
                      <w:sz w:val="22"/>
                    </w:rPr>
                    <w:t>0.38</w:t>
                  </w:r>
                </w:p>
              </w:tc>
            </w:tr>
            <w:bookmarkEnd w:id="23"/>
          </w:tbl>
          <w:p w14:paraId="33E325BF" w14:textId="77777777" w:rsidR="003B41E9" w:rsidRPr="00AF223D" w:rsidRDefault="003B41E9">
            <w:pPr>
              <w:rPr>
                <w:sz w:val="22"/>
              </w:rPr>
            </w:pPr>
          </w:p>
        </w:tc>
      </w:tr>
    </w:tbl>
    <w:p w14:paraId="2A9D7210" w14:textId="77777777" w:rsidR="003B41E9" w:rsidRPr="00AF223D" w:rsidRDefault="00000000">
      <w:pPr>
        <w:rPr>
          <w:i/>
          <w:iCs/>
          <w:sz w:val="22"/>
        </w:rPr>
      </w:pPr>
      <w:proofErr w:type="spellStart"/>
      <w:r w:rsidRPr="00AF223D">
        <w:rPr>
          <w:i/>
          <w:iCs/>
          <w:sz w:val="22"/>
          <w:vertAlign w:val="superscript"/>
        </w:rPr>
        <w:t>a</w:t>
      </w:r>
      <w:r w:rsidRPr="00AF223D">
        <w:rPr>
          <w:i/>
          <w:iCs/>
          <w:sz w:val="22"/>
        </w:rPr>
        <w:t>Only</w:t>
      </w:r>
      <w:proofErr w:type="spellEnd"/>
      <w:r w:rsidRPr="00AF223D">
        <w:rPr>
          <w:i/>
          <w:iCs/>
          <w:sz w:val="22"/>
        </w:rPr>
        <w:t xml:space="preserve"> components with eigenvalues &gt; 1 are highlighted (Kaiser criterion). </w:t>
      </w:r>
      <w:proofErr w:type="spellStart"/>
      <w:r w:rsidRPr="00AF223D">
        <w:rPr>
          <w:i/>
          <w:iCs/>
          <w:sz w:val="22"/>
          <w:vertAlign w:val="superscript"/>
        </w:rPr>
        <w:t>b</w:t>
      </w:r>
      <w:r w:rsidRPr="00AF223D">
        <w:rPr>
          <w:i/>
          <w:iCs/>
          <w:sz w:val="22"/>
        </w:rPr>
        <w:t>Variables</w:t>
      </w:r>
      <w:proofErr w:type="spellEnd"/>
      <w:r w:rsidRPr="00AF223D">
        <w:rPr>
          <w:i/>
          <w:iCs/>
          <w:sz w:val="22"/>
        </w:rPr>
        <w:t xml:space="preserve"> in bold denote absolute loadings ≥ 0.50. </w:t>
      </w:r>
      <w:proofErr w:type="spellStart"/>
      <w:r w:rsidRPr="00AF223D">
        <w:rPr>
          <w:i/>
          <w:iCs/>
          <w:sz w:val="22"/>
          <w:vertAlign w:val="superscript"/>
        </w:rPr>
        <w:t>c</w:t>
      </w:r>
      <w:r w:rsidRPr="00AF223D">
        <w:rPr>
          <w:i/>
          <w:iCs/>
          <w:sz w:val="22"/>
        </w:rPr>
        <w:t>Variables</w:t>
      </w:r>
      <w:proofErr w:type="spellEnd"/>
      <w:r w:rsidRPr="00AF223D">
        <w:rPr>
          <w:i/>
          <w:iCs/>
          <w:sz w:val="22"/>
        </w:rPr>
        <w:t xml:space="preserve"> with underlined factor loadings are considered highly weighted and compose the MDS.</w:t>
      </w:r>
    </w:p>
    <w:p w14:paraId="2CFEB04A" w14:textId="77777777" w:rsidR="00012A75" w:rsidRPr="00AF223D" w:rsidRDefault="00012A75">
      <w:pPr>
        <w:rPr>
          <w:sz w:val="22"/>
        </w:rPr>
      </w:pPr>
    </w:p>
    <w:p w14:paraId="752DABAC" w14:textId="77777777" w:rsidR="003B41E9" w:rsidRPr="00AF223D" w:rsidRDefault="00000000">
      <w:pPr>
        <w:pStyle w:val="Ttulo2"/>
        <w:rPr>
          <w:sz w:val="22"/>
          <w:szCs w:val="22"/>
        </w:rPr>
      </w:pPr>
      <w:bookmarkStart w:id="24" w:name="X244ee9805458fdc9b22dac02dc8c4493ffa8743"/>
      <w:bookmarkEnd w:id="21"/>
      <w:r w:rsidRPr="00AF223D">
        <w:rPr>
          <w:sz w:val="22"/>
          <w:szCs w:val="22"/>
        </w:rPr>
        <w:t>Edaphic influence of the MDS variables on the weighted soil quality index (</w:t>
      </w:r>
      <w:proofErr w:type="spellStart"/>
      <w:r w:rsidRPr="00AF223D">
        <w:rPr>
          <w:sz w:val="22"/>
          <w:szCs w:val="22"/>
        </w:rPr>
        <w:t>SQIw</w:t>
      </w:r>
      <w:proofErr w:type="spellEnd"/>
      <w:r w:rsidRPr="00AF223D">
        <w:rPr>
          <w:sz w:val="22"/>
          <w:szCs w:val="22"/>
        </w:rPr>
        <w:t>)</w:t>
      </w:r>
    </w:p>
    <w:p w14:paraId="741FD9D8" w14:textId="403009F5" w:rsidR="003B41E9" w:rsidRPr="00AF223D" w:rsidRDefault="00000000">
      <w:pPr>
        <w:rPr>
          <w:sz w:val="22"/>
        </w:rPr>
      </w:pPr>
      <w:r w:rsidRPr="00AF223D">
        <w:rPr>
          <w:sz w:val="22"/>
        </w:rPr>
        <w:t>The weighting values (Wi) derived for the MDS variables (</w:t>
      </w:r>
      <w:hyperlink r:id="rId15" w:anchor="bookmark=id.kz2b6nh44co8">
        <w:r w:rsidR="003B41E9" w:rsidRPr="00AF223D">
          <w:rPr>
            <w:rStyle w:val="Hipervnculo"/>
            <w:color w:val="auto"/>
            <w:sz w:val="22"/>
          </w:rPr>
          <w:t>Figure 3</w:t>
        </w:r>
      </w:hyperlink>
      <w:r w:rsidRPr="00AF223D">
        <w:rPr>
          <w:sz w:val="22"/>
        </w:rPr>
        <w:t>) reflect their relative contribution to the weighted Soil Quality Index (</w:t>
      </w:r>
      <w:proofErr w:type="spellStart"/>
      <w:r w:rsidRPr="00AF223D">
        <w:rPr>
          <w:sz w:val="22"/>
        </w:rPr>
        <w:t>SQIw</w:t>
      </w:r>
      <w:proofErr w:type="spellEnd"/>
      <w:r w:rsidRPr="00AF223D">
        <w:rPr>
          <w:sz w:val="22"/>
        </w:rPr>
        <w:t xml:space="preserve">). Exchangeable sodium (Na) and pH showed the highest weights (Wi = 0.275 and 0.261), indicating their dominant influence on soil quality across fruit-growing areas. In contrast, Clay and Ca exhibited the lowest weights (0.243 and 0.222, respectively), suggesting more limited spatial variability despite their continued relevance to soil chemical fertility. Overall, these patterns highlight the central role of </w:t>
      </w:r>
      <w:proofErr w:type="spellStart"/>
      <w:r w:rsidRPr="00AF223D">
        <w:rPr>
          <w:sz w:val="22"/>
        </w:rPr>
        <w:t>sodicity</w:t>
      </w:r>
      <w:proofErr w:type="spellEnd"/>
      <w:r w:rsidRPr="00AF223D">
        <w:rPr>
          <w:sz w:val="22"/>
        </w:rPr>
        <w:t xml:space="preserve"> and alkalinity, followed by texture and Ca exchangeable, in shaping the edaphic conditions that govern soil aeration, moisture retention and nutrient supply.</w:t>
      </w:r>
    </w:p>
    <w:tbl>
      <w:tblPr>
        <w:tblStyle w:val="Table"/>
        <w:tblW w:w="5000" w:type="pct"/>
        <w:tblLayout w:type="fixed"/>
        <w:tblLook w:val="0000" w:firstRow="0" w:lastRow="0" w:firstColumn="0" w:lastColumn="0" w:noHBand="0" w:noVBand="0"/>
      </w:tblPr>
      <w:tblGrid>
        <w:gridCol w:w="9777"/>
      </w:tblGrid>
      <w:tr w:rsidR="00AF223D" w:rsidRPr="00AF223D" w14:paraId="7B7E01C2" w14:textId="77777777">
        <w:tc>
          <w:tcPr>
            <w:tcW w:w="7920" w:type="dxa"/>
          </w:tcPr>
          <w:p w14:paraId="04F5371F" w14:textId="77777777" w:rsidR="003B41E9" w:rsidRPr="00AF223D" w:rsidRDefault="00000000">
            <w:pPr>
              <w:jc w:val="center"/>
              <w:rPr>
                <w:sz w:val="22"/>
              </w:rPr>
            </w:pPr>
            <w:bookmarkStart w:id="25" w:name="fig-id.kz2b6nh44co8"/>
            <w:r w:rsidRPr="00AF223D">
              <w:rPr>
                <w:noProof/>
                <w:sz w:val="22"/>
              </w:rPr>
              <w:lastRenderedPageBreak/>
              <w:drawing>
                <wp:inline distT="0" distB="0" distL="0" distR="0" wp14:anchorId="1EDDB837" wp14:editId="3AF0D2BF">
                  <wp:extent cx="6073648" cy="4481305"/>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article/img_2.jpg"/>
                          <pic:cNvPicPr>
                            <a:picLocks noChangeAspect="1" noChangeArrowheads="1"/>
                          </pic:cNvPicPr>
                        </pic:nvPicPr>
                        <pic:blipFill>
                          <a:blip r:embed="rId16"/>
                          <a:stretch>
                            <a:fillRect/>
                          </a:stretch>
                        </pic:blipFill>
                        <pic:spPr bwMode="auto">
                          <a:xfrm>
                            <a:off x="0" y="0"/>
                            <a:ext cx="6073648" cy="4481305"/>
                          </a:xfrm>
                          <a:prstGeom prst="rect">
                            <a:avLst/>
                          </a:prstGeom>
                          <a:noFill/>
                          <a:ln w="9525">
                            <a:noFill/>
                            <a:headEnd/>
                            <a:tailEnd/>
                          </a:ln>
                        </pic:spPr>
                      </pic:pic>
                    </a:graphicData>
                  </a:graphic>
                </wp:inline>
              </w:drawing>
            </w:r>
          </w:p>
          <w:p w14:paraId="4E505948" w14:textId="77777777" w:rsidR="003B41E9" w:rsidRPr="00AF223D" w:rsidRDefault="00000000">
            <w:pPr>
              <w:spacing w:before="200"/>
              <w:jc w:val="left"/>
              <w:rPr>
                <w:sz w:val="22"/>
              </w:rPr>
            </w:pPr>
            <w:r w:rsidRPr="00AF223D">
              <w:rPr>
                <w:sz w:val="22"/>
              </w:rPr>
              <w:t xml:space="preserve">Figure 3: </w:t>
            </w:r>
            <w:r w:rsidRPr="00AF223D">
              <w:rPr>
                <w:i/>
                <w:iCs/>
                <w:sz w:val="22"/>
              </w:rPr>
              <w:t>Relative weights (Wi) of the minimum data set (MDS) indicators used in the estimation of the weighted Soil Quality Index (</w:t>
            </w:r>
            <w:proofErr w:type="spellStart"/>
            <w:r w:rsidRPr="00AF223D">
              <w:rPr>
                <w:i/>
                <w:iCs/>
                <w:sz w:val="22"/>
              </w:rPr>
              <w:t>SQIw</w:t>
            </w:r>
            <w:proofErr w:type="spellEnd"/>
            <w:r w:rsidRPr="00AF223D">
              <w:rPr>
                <w:i/>
                <w:iCs/>
                <w:sz w:val="22"/>
              </w:rPr>
              <w:t>).</w:t>
            </w:r>
          </w:p>
        </w:tc>
        <w:bookmarkEnd w:id="25"/>
      </w:tr>
    </w:tbl>
    <w:p w14:paraId="2C16712E" w14:textId="752B8A2B" w:rsidR="003B41E9" w:rsidRPr="00AF223D" w:rsidRDefault="00000000">
      <w:pPr>
        <w:rPr>
          <w:sz w:val="22"/>
        </w:rPr>
      </w:pPr>
      <w:r w:rsidRPr="00AF223D">
        <w:rPr>
          <w:sz w:val="22"/>
        </w:rPr>
        <w:t xml:space="preserve">The </w:t>
      </w:r>
      <w:proofErr w:type="spellStart"/>
      <w:r w:rsidRPr="00AF223D">
        <w:rPr>
          <w:sz w:val="22"/>
        </w:rPr>
        <w:t>SQIw</w:t>
      </w:r>
      <w:proofErr w:type="spellEnd"/>
      <w:r w:rsidRPr="00AF223D">
        <w:rPr>
          <w:sz w:val="22"/>
        </w:rPr>
        <w:t xml:space="preserve"> frequency distribution (</w:t>
      </w:r>
      <w:hyperlink r:id="rId17" w:anchor="bookmark=id.przdrxehkbhv">
        <w:r w:rsidR="003B41E9" w:rsidRPr="00AF223D">
          <w:rPr>
            <w:rStyle w:val="Hipervnculo"/>
            <w:color w:val="auto"/>
            <w:sz w:val="22"/>
          </w:rPr>
          <w:t>Figure 4</w:t>
        </w:r>
      </w:hyperlink>
      <w:r w:rsidRPr="00AF223D">
        <w:rPr>
          <w:sz w:val="22"/>
        </w:rPr>
        <w:t xml:space="preserve">) exhibited an approximately normal pattern, with values ranging from 0.00 to 0.97, indicating high edaphic variability across the study area. Based on the established classification thresholds, </w:t>
      </w:r>
      <w:proofErr w:type="spellStart"/>
      <w:r w:rsidRPr="00AF223D">
        <w:rPr>
          <w:sz w:val="22"/>
        </w:rPr>
        <w:t>SQIw</w:t>
      </w:r>
      <w:proofErr w:type="spellEnd"/>
      <w:r w:rsidRPr="00AF223D">
        <w:rPr>
          <w:sz w:val="22"/>
        </w:rPr>
        <w:t xml:space="preserve"> values were grouped into five soil-quality classes: very low (&lt; 0.30), low (0.30–0.50), moderate (0.50–0.60), high (0.60–0.70) and very high (&gt; 0.70). The low class accounted for the largest proportion of observations (37.35%), followed by the medium (19.93%) and very high (18.71%) classes. In contrast, the high and very low classes represented only 13.96% and 10.05% of the samples, respectively. This distribution highlights the predominance of low soil-quality conditions.</w:t>
      </w:r>
    </w:p>
    <w:tbl>
      <w:tblPr>
        <w:tblStyle w:val="Table"/>
        <w:tblW w:w="5000" w:type="pct"/>
        <w:tblLayout w:type="fixed"/>
        <w:tblLook w:val="0000" w:firstRow="0" w:lastRow="0" w:firstColumn="0" w:lastColumn="0" w:noHBand="0" w:noVBand="0"/>
      </w:tblPr>
      <w:tblGrid>
        <w:gridCol w:w="9777"/>
      </w:tblGrid>
      <w:tr w:rsidR="00AF223D" w:rsidRPr="00AF223D" w14:paraId="1E840819" w14:textId="77777777">
        <w:tc>
          <w:tcPr>
            <w:tcW w:w="7920" w:type="dxa"/>
          </w:tcPr>
          <w:p w14:paraId="7400B55E" w14:textId="77777777" w:rsidR="003B41E9" w:rsidRPr="00AF223D" w:rsidRDefault="00000000">
            <w:pPr>
              <w:jc w:val="center"/>
              <w:rPr>
                <w:sz w:val="22"/>
              </w:rPr>
            </w:pPr>
            <w:bookmarkStart w:id="26" w:name="fig-id.przdrxehkbhv"/>
            <w:r w:rsidRPr="00AF223D">
              <w:rPr>
                <w:noProof/>
                <w:sz w:val="22"/>
              </w:rPr>
              <w:lastRenderedPageBreak/>
              <w:drawing>
                <wp:inline distT="0" distB="0" distL="0" distR="0" wp14:anchorId="43D1CF24" wp14:editId="6304652D">
                  <wp:extent cx="6073648" cy="3734824"/>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article/img_3.jpg"/>
                          <pic:cNvPicPr>
                            <a:picLocks noChangeAspect="1" noChangeArrowheads="1"/>
                          </pic:cNvPicPr>
                        </pic:nvPicPr>
                        <pic:blipFill>
                          <a:blip r:embed="rId18"/>
                          <a:stretch>
                            <a:fillRect/>
                          </a:stretch>
                        </pic:blipFill>
                        <pic:spPr bwMode="auto">
                          <a:xfrm>
                            <a:off x="0" y="0"/>
                            <a:ext cx="6073648" cy="3734824"/>
                          </a:xfrm>
                          <a:prstGeom prst="rect">
                            <a:avLst/>
                          </a:prstGeom>
                          <a:noFill/>
                          <a:ln w="9525">
                            <a:noFill/>
                            <a:headEnd/>
                            <a:tailEnd/>
                          </a:ln>
                        </pic:spPr>
                      </pic:pic>
                    </a:graphicData>
                  </a:graphic>
                </wp:inline>
              </w:drawing>
            </w:r>
          </w:p>
          <w:p w14:paraId="5A3AD82C" w14:textId="77777777" w:rsidR="003B41E9" w:rsidRPr="00AF223D" w:rsidRDefault="00000000">
            <w:pPr>
              <w:spacing w:before="200"/>
              <w:jc w:val="left"/>
              <w:rPr>
                <w:sz w:val="22"/>
              </w:rPr>
            </w:pPr>
            <w:r w:rsidRPr="00AF223D">
              <w:rPr>
                <w:sz w:val="22"/>
              </w:rPr>
              <w:t xml:space="preserve">Figure 4: </w:t>
            </w:r>
            <w:r w:rsidRPr="00AF223D">
              <w:rPr>
                <w:i/>
                <w:iCs/>
                <w:sz w:val="22"/>
              </w:rPr>
              <w:t>Distribution of the weighted Soil Quality Index (</w:t>
            </w:r>
            <w:proofErr w:type="spellStart"/>
            <w:r w:rsidRPr="00AF223D">
              <w:rPr>
                <w:i/>
                <w:iCs/>
                <w:sz w:val="22"/>
              </w:rPr>
              <w:t>SQIw</w:t>
            </w:r>
            <w:proofErr w:type="spellEnd"/>
            <w:r w:rsidRPr="00AF223D">
              <w:rPr>
                <w:i/>
                <w:iCs/>
                <w:sz w:val="22"/>
              </w:rPr>
              <w:t xml:space="preserve">) in fruits‐growing soils from the </w:t>
            </w:r>
            <w:proofErr w:type="spellStart"/>
            <w:r w:rsidRPr="00AF223D">
              <w:rPr>
                <w:i/>
                <w:iCs/>
                <w:sz w:val="22"/>
              </w:rPr>
              <w:t>Morropon</w:t>
            </w:r>
            <w:proofErr w:type="spellEnd"/>
            <w:r w:rsidRPr="00AF223D">
              <w:rPr>
                <w:i/>
                <w:iCs/>
                <w:sz w:val="22"/>
              </w:rPr>
              <w:t xml:space="preserve"> province.</w:t>
            </w:r>
          </w:p>
        </w:tc>
        <w:bookmarkEnd w:id="26"/>
      </w:tr>
    </w:tbl>
    <w:p w14:paraId="4A376114" w14:textId="079273F4" w:rsidR="003B41E9" w:rsidRPr="00AF223D" w:rsidRDefault="00000000">
      <w:pPr>
        <w:rPr>
          <w:sz w:val="22"/>
        </w:rPr>
      </w:pPr>
      <w:r w:rsidRPr="00AF223D">
        <w:rPr>
          <w:sz w:val="22"/>
        </w:rPr>
        <w:t xml:space="preserve">The mean values (± SD) of the </w:t>
      </w:r>
      <w:proofErr w:type="spellStart"/>
      <w:r w:rsidRPr="00AF223D">
        <w:rPr>
          <w:sz w:val="22"/>
        </w:rPr>
        <w:t>SFIw</w:t>
      </w:r>
      <w:proofErr w:type="spellEnd"/>
      <w:r w:rsidRPr="00AF223D">
        <w:rPr>
          <w:sz w:val="22"/>
        </w:rPr>
        <w:t xml:space="preserve"> variables across soil-quality classes (</w:t>
      </w:r>
      <w:hyperlink r:id="rId19" w:anchor="bookmark=id.o092x55zb75l">
        <w:r w:rsidR="003B41E9" w:rsidRPr="00AF223D">
          <w:rPr>
            <w:rStyle w:val="Hipervnculo"/>
            <w:color w:val="auto"/>
            <w:sz w:val="22"/>
          </w:rPr>
          <w:t>Table 3</w:t>
        </w:r>
      </w:hyperlink>
      <w:r w:rsidRPr="00AF223D">
        <w:rPr>
          <w:sz w:val="22"/>
        </w:rPr>
        <w:t>) reveal consistent gradients that align with the interpretation of the index. Very high–quality soils showed more balanced textural conditions, with higher sand contents (42.76 ± 15.42%) and intermediate proportions of silt and clay (31.33 ± 14.08% and 25.91 ± 7.34%, respectively). In contrast, very low-quality soils displayed a marked increase in sand content (66.15 ± 18.52%) accompanied by substantial reductions in silt (19.79 ± 12.78%) and clay (14.07 ± 10.59%), indicating a coarser and structurally weaker matrix.</w:t>
      </w:r>
    </w:p>
    <w:p w14:paraId="4994065F" w14:textId="77777777" w:rsidR="003B41E9" w:rsidRPr="00AF223D" w:rsidRDefault="00000000">
      <w:pPr>
        <w:rPr>
          <w:sz w:val="22"/>
        </w:rPr>
      </w:pPr>
      <w:r w:rsidRPr="00AF223D">
        <w:rPr>
          <w:sz w:val="22"/>
        </w:rPr>
        <w:t xml:space="preserve">Chemical indicators also exhibited clear quality-dependent patterns. Soils in the very high and high classes maintained moderate pH values (7.03 ± 0.61 and 7.35 ± 0.55) and relatively greater levels of exchangeable Ca (13.95 ± 6.54 and 12.84 ± 4.89 </w:t>
      </w:r>
      <w:proofErr w:type="spellStart"/>
      <w:r w:rsidRPr="00AF223D">
        <w:rPr>
          <w:sz w:val="22"/>
        </w:rPr>
        <w:t>cmol</w:t>
      </w:r>
      <w:proofErr w:type="spellEnd"/>
      <w:r w:rsidRPr="00AF223D">
        <w:rPr>
          <w:sz w:val="22"/>
        </w:rPr>
        <w:t xml:space="preserve"> kg⁻¹) and Mg (3.73 ± 1.48 and 3.78 ± 1.53 </w:t>
      </w:r>
      <w:proofErr w:type="spellStart"/>
      <w:r w:rsidRPr="00AF223D">
        <w:rPr>
          <w:sz w:val="22"/>
        </w:rPr>
        <w:t>cmol</w:t>
      </w:r>
      <w:proofErr w:type="spellEnd"/>
      <w:r w:rsidRPr="00AF223D">
        <w:rPr>
          <w:sz w:val="22"/>
        </w:rPr>
        <w:t xml:space="preserve"> kg⁻¹), reflecting more favorable chemical environments. In contrast, very low-quality soils showed higher pH (7.72 ± 0.54) and the lowest concentrations of Ca (8.93 ± 3.44 </w:t>
      </w:r>
      <w:proofErr w:type="spellStart"/>
      <w:r w:rsidRPr="00AF223D">
        <w:rPr>
          <w:sz w:val="22"/>
        </w:rPr>
        <w:t>cmol</w:t>
      </w:r>
      <w:proofErr w:type="spellEnd"/>
      <w:r w:rsidRPr="00AF223D">
        <w:rPr>
          <w:sz w:val="22"/>
        </w:rPr>
        <w:t xml:space="preserve"> kg⁻¹) and Mg (2.58 ± 0.92 </w:t>
      </w:r>
      <w:proofErr w:type="spellStart"/>
      <w:r w:rsidRPr="00AF223D">
        <w:rPr>
          <w:sz w:val="22"/>
        </w:rPr>
        <w:t>cmol</w:t>
      </w:r>
      <w:proofErr w:type="spellEnd"/>
      <w:r w:rsidRPr="00AF223D">
        <w:rPr>
          <w:sz w:val="22"/>
        </w:rPr>
        <w:t xml:space="preserve"> kg⁻¹), indicative of declining base status.</w:t>
      </w:r>
    </w:p>
    <w:p w14:paraId="4EC536A3" w14:textId="77777777" w:rsidR="003B41E9" w:rsidRPr="00AF223D" w:rsidRDefault="00000000">
      <w:pPr>
        <w:rPr>
          <w:sz w:val="22"/>
        </w:rPr>
      </w:pPr>
      <w:proofErr w:type="spellStart"/>
      <w:r w:rsidRPr="00AF223D">
        <w:rPr>
          <w:sz w:val="22"/>
        </w:rPr>
        <w:t>Sodicity</w:t>
      </w:r>
      <w:proofErr w:type="spellEnd"/>
      <w:r w:rsidRPr="00AF223D">
        <w:rPr>
          <w:sz w:val="22"/>
        </w:rPr>
        <w:t xml:space="preserve"> increased markedly toward the lower </w:t>
      </w:r>
      <w:proofErr w:type="spellStart"/>
      <w:r w:rsidRPr="00AF223D">
        <w:rPr>
          <w:sz w:val="22"/>
        </w:rPr>
        <w:t>SFIw</w:t>
      </w:r>
      <w:proofErr w:type="spellEnd"/>
      <w:r w:rsidRPr="00AF223D">
        <w:rPr>
          <w:sz w:val="22"/>
        </w:rPr>
        <w:t xml:space="preserve"> classes, with ESP rising from 1.73 ± 1.33% in very high-quality soils to 11.51 ± 7.03% in very low-quality soils. This pattern is consistent with the strong negative correlation of ESP with the index (r = –0.62). Exchangeable Na followed a similar trend, showing a progressive increase from 0.31 ± 0.27 to 1.71 ± 1.42 </w:t>
      </w:r>
      <w:proofErr w:type="spellStart"/>
      <w:r w:rsidRPr="00AF223D">
        <w:rPr>
          <w:sz w:val="22"/>
        </w:rPr>
        <w:t>cmol</w:t>
      </w:r>
      <w:proofErr w:type="spellEnd"/>
      <w:r w:rsidRPr="00AF223D">
        <w:rPr>
          <w:sz w:val="22"/>
        </w:rPr>
        <w:t xml:space="preserve"> kg⁻¹ across the gradient. Organic matter showed a modest decline </w:t>
      </w:r>
      <w:r w:rsidRPr="00AF223D">
        <w:rPr>
          <w:sz w:val="22"/>
        </w:rPr>
        <w:lastRenderedPageBreak/>
        <w:t>from very high to very low quality (1.79 ± 0.61% vs. 1.35 ± 0.62%), in alignment with its positive correlation (r = 0.27).</w:t>
      </w:r>
    </w:p>
    <w:p w14:paraId="7ECDFA08" w14:textId="77777777" w:rsidR="003B41E9" w:rsidRPr="00AF223D" w:rsidRDefault="00000000">
      <w:pPr>
        <w:rPr>
          <w:sz w:val="22"/>
        </w:rPr>
      </w:pPr>
      <w:r w:rsidRPr="00AF223D">
        <w:rPr>
          <w:sz w:val="22"/>
        </w:rPr>
        <w:t xml:space="preserve">BD showed a slight but systematic increase from 1.49 ± 0.04 to 1.56 ± 0.06 g cm⁻³, consistent with its negative association with </w:t>
      </w:r>
      <w:proofErr w:type="spellStart"/>
      <w:r w:rsidRPr="00AF223D">
        <w:rPr>
          <w:sz w:val="22"/>
        </w:rPr>
        <w:t>SFIw</w:t>
      </w:r>
      <w:proofErr w:type="spellEnd"/>
      <w:r w:rsidRPr="00AF223D">
        <w:rPr>
          <w:sz w:val="22"/>
        </w:rPr>
        <w:t xml:space="preserve"> (r = –0.37), indicating gradual compaction or reduced structural integrity in lower-quality soils. EC and K did not show consistent monotonic trends across classes, which corresponds with their low Pearson correlations (r = –0.04 and r = 0.11, respectively).</w:t>
      </w:r>
    </w:p>
    <w:p w14:paraId="3EFDF78C" w14:textId="77777777" w:rsidR="003B41E9" w:rsidRPr="00AF223D" w:rsidRDefault="00000000">
      <w:pPr>
        <w:rPr>
          <w:sz w:val="22"/>
        </w:rPr>
      </w:pPr>
      <w:r w:rsidRPr="00AF223D">
        <w:rPr>
          <w:sz w:val="22"/>
        </w:rPr>
        <w:t xml:space="preserve">Overall, the </w:t>
      </w:r>
      <w:proofErr w:type="spellStart"/>
      <w:r w:rsidRPr="00AF223D">
        <w:rPr>
          <w:sz w:val="22"/>
        </w:rPr>
        <w:t>SFIw</w:t>
      </w:r>
      <w:proofErr w:type="spellEnd"/>
      <w:r w:rsidRPr="00AF223D">
        <w:rPr>
          <w:sz w:val="22"/>
        </w:rPr>
        <w:t xml:space="preserve"> classes reflect coherent and interpretable shifts in texture, </w:t>
      </w:r>
      <w:proofErr w:type="spellStart"/>
      <w:r w:rsidRPr="00AF223D">
        <w:rPr>
          <w:sz w:val="22"/>
        </w:rPr>
        <w:t>sodicity</w:t>
      </w:r>
      <w:proofErr w:type="spellEnd"/>
      <w:r w:rsidRPr="00AF223D">
        <w:rPr>
          <w:sz w:val="22"/>
        </w:rPr>
        <w:t>, base cation status, pH, and bulk density, effectively capturing the multidimensional degradation gradient represented in the dataset.</w:t>
      </w:r>
    </w:p>
    <w:tbl>
      <w:tblPr>
        <w:tblStyle w:val="Table"/>
        <w:tblW w:w="5000" w:type="pct"/>
        <w:tblLayout w:type="fixed"/>
        <w:tblLook w:val="0000" w:firstRow="0" w:lastRow="0" w:firstColumn="0" w:lastColumn="0" w:noHBand="0" w:noVBand="0"/>
      </w:tblPr>
      <w:tblGrid>
        <w:gridCol w:w="9777"/>
      </w:tblGrid>
      <w:tr w:rsidR="00AF223D" w:rsidRPr="00AF223D" w14:paraId="0B036CE6" w14:textId="77777777">
        <w:tc>
          <w:tcPr>
            <w:tcW w:w="7920" w:type="dxa"/>
          </w:tcPr>
          <w:p w14:paraId="300E8C67" w14:textId="0F8E5D06" w:rsidR="003B41E9" w:rsidRPr="00AF223D" w:rsidRDefault="00000000">
            <w:pPr>
              <w:spacing w:before="200"/>
              <w:jc w:val="left"/>
              <w:rPr>
                <w:sz w:val="22"/>
              </w:rPr>
            </w:pPr>
            <w:bookmarkStart w:id="27" w:name="tbl-id.o092x55zb75l"/>
            <w:r w:rsidRPr="00AF223D">
              <w:rPr>
                <w:sz w:val="22"/>
              </w:rPr>
              <w:t>Table 3:</w:t>
            </w:r>
            <w:r w:rsidRPr="00AF223D">
              <w:rPr>
                <w:i/>
                <w:iCs/>
                <w:sz w:val="22"/>
              </w:rPr>
              <w:t xml:space="preserve"> Mean values of the soil variables across different </w:t>
            </w:r>
            <w:proofErr w:type="spellStart"/>
            <w:r w:rsidRPr="00AF223D">
              <w:rPr>
                <w:i/>
                <w:iCs/>
                <w:sz w:val="22"/>
              </w:rPr>
              <w:t>SQIw</w:t>
            </w:r>
            <w:proofErr w:type="spellEnd"/>
            <w:r w:rsidRPr="00AF223D">
              <w:rPr>
                <w:i/>
                <w:iCs/>
                <w:sz w:val="22"/>
              </w:rPr>
              <w:t xml:space="preserve"> classes</w:t>
            </w:r>
          </w:p>
          <w:tbl>
            <w:tblPr>
              <w:tblStyle w:val="Table"/>
              <w:tblW w:w="5000" w:type="pct"/>
              <w:tblLayout w:type="fixed"/>
              <w:tblLook w:val="0020" w:firstRow="1" w:lastRow="0" w:firstColumn="0" w:lastColumn="0" w:noHBand="0" w:noVBand="0"/>
            </w:tblPr>
            <w:tblGrid>
              <w:gridCol w:w="1359"/>
              <w:gridCol w:w="1358"/>
              <w:gridCol w:w="1358"/>
              <w:gridCol w:w="1358"/>
              <w:gridCol w:w="1358"/>
              <w:gridCol w:w="1358"/>
              <w:gridCol w:w="1412"/>
            </w:tblGrid>
            <w:tr w:rsidR="00911843" w:rsidRPr="00AF223D" w14:paraId="62B5ACE4" w14:textId="77777777" w:rsidTr="00911843">
              <w:trPr>
                <w:cnfStyle w:val="100000000000" w:firstRow="1" w:lastRow="0" w:firstColumn="0" w:lastColumn="0" w:oddVBand="0" w:evenVBand="0" w:oddHBand="0" w:evenHBand="0" w:firstRowFirstColumn="0" w:firstRowLastColumn="0" w:lastRowFirstColumn="0" w:lastRowLastColumn="0"/>
                <w:tblHeader/>
              </w:trPr>
              <w:tc>
                <w:tcPr>
                  <w:tcW w:w="1359" w:type="dxa"/>
                </w:tcPr>
                <w:p w14:paraId="392D1D64" w14:textId="77777777" w:rsidR="00911843" w:rsidRPr="00AF223D" w:rsidRDefault="00911843">
                  <w:pPr>
                    <w:jc w:val="center"/>
                    <w:rPr>
                      <w:sz w:val="21"/>
                      <w:szCs w:val="21"/>
                    </w:rPr>
                  </w:pPr>
                  <w:r w:rsidRPr="00AF223D">
                    <w:rPr>
                      <w:bCs/>
                      <w:sz w:val="21"/>
                      <w:szCs w:val="21"/>
                    </w:rPr>
                    <w:t>Variable</w:t>
                  </w:r>
                </w:p>
              </w:tc>
              <w:tc>
                <w:tcPr>
                  <w:tcW w:w="1358" w:type="dxa"/>
                </w:tcPr>
                <w:p w14:paraId="12CD543B" w14:textId="77777777" w:rsidR="00911843" w:rsidRPr="00AF223D" w:rsidRDefault="00911843">
                  <w:pPr>
                    <w:jc w:val="center"/>
                    <w:rPr>
                      <w:sz w:val="21"/>
                      <w:szCs w:val="21"/>
                    </w:rPr>
                  </w:pPr>
                  <w:r w:rsidRPr="00AF223D">
                    <w:rPr>
                      <w:bCs/>
                      <w:sz w:val="21"/>
                      <w:szCs w:val="21"/>
                    </w:rPr>
                    <w:t>Pearson correlation</w:t>
                  </w:r>
                </w:p>
              </w:tc>
              <w:tc>
                <w:tcPr>
                  <w:tcW w:w="6844" w:type="dxa"/>
                  <w:gridSpan w:val="5"/>
                </w:tcPr>
                <w:p w14:paraId="67487B79" w14:textId="00D9CEE2" w:rsidR="00911843" w:rsidRPr="00AF223D" w:rsidRDefault="00911843" w:rsidP="00911843">
                  <w:pPr>
                    <w:jc w:val="center"/>
                    <w:rPr>
                      <w:sz w:val="21"/>
                      <w:szCs w:val="21"/>
                    </w:rPr>
                  </w:pPr>
                  <w:proofErr w:type="spellStart"/>
                  <w:r w:rsidRPr="00AF223D">
                    <w:rPr>
                      <w:bCs/>
                      <w:sz w:val="21"/>
                      <w:szCs w:val="21"/>
                    </w:rPr>
                    <w:t>SQIw</w:t>
                  </w:r>
                  <w:proofErr w:type="spellEnd"/>
                </w:p>
              </w:tc>
            </w:tr>
            <w:tr w:rsidR="00AF223D" w:rsidRPr="00AF223D" w14:paraId="58838B56" w14:textId="77777777" w:rsidTr="00911843">
              <w:tc>
                <w:tcPr>
                  <w:tcW w:w="1359" w:type="dxa"/>
                </w:tcPr>
                <w:p w14:paraId="6EB6A228" w14:textId="77777777" w:rsidR="003B41E9" w:rsidRPr="00AF223D" w:rsidRDefault="003B41E9">
                  <w:pPr>
                    <w:rPr>
                      <w:sz w:val="21"/>
                      <w:szCs w:val="21"/>
                    </w:rPr>
                  </w:pPr>
                </w:p>
              </w:tc>
              <w:tc>
                <w:tcPr>
                  <w:tcW w:w="1358" w:type="dxa"/>
                </w:tcPr>
                <w:p w14:paraId="6F77D7FB" w14:textId="77777777" w:rsidR="003B41E9" w:rsidRPr="00AF223D" w:rsidRDefault="003B41E9">
                  <w:pPr>
                    <w:rPr>
                      <w:sz w:val="21"/>
                      <w:szCs w:val="21"/>
                    </w:rPr>
                  </w:pPr>
                </w:p>
              </w:tc>
              <w:tc>
                <w:tcPr>
                  <w:tcW w:w="1358" w:type="dxa"/>
                </w:tcPr>
                <w:p w14:paraId="63A5B756" w14:textId="77777777" w:rsidR="003B41E9" w:rsidRPr="00AF223D" w:rsidRDefault="00000000">
                  <w:pPr>
                    <w:jc w:val="center"/>
                    <w:rPr>
                      <w:sz w:val="21"/>
                      <w:szCs w:val="21"/>
                    </w:rPr>
                  </w:pPr>
                  <w:r w:rsidRPr="00AF223D">
                    <w:rPr>
                      <w:b/>
                      <w:bCs/>
                      <w:sz w:val="21"/>
                      <w:szCs w:val="21"/>
                    </w:rPr>
                    <w:t>Very high</w:t>
                  </w:r>
                </w:p>
              </w:tc>
              <w:tc>
                <w:tcPr>
                  <w:tcW w:w="1358" w:type="dxa"/>
                </w:tcPr>
                <w:p w14:paraId="67774185" w14:textId="77777777" w:rsidR="003B41E9" w:rsidRPr="00AF223D" w:rsidRDefault="00000000">
                  <w:pPr>
                    <w:jc w:val="center"/>
                    <w:rPr>
                      <w:sz w:val="21"/>
                      <w:szCs w:val="21"/>
                    </w:rPr>
                  </w:pPr>
                  <w:r w:rsidRPr="00AF223D">
                    <w:rPr>
                      <w:b/>
                      <w:bCs/>
                      <w:sz w:val="21"/>
                      <w:szCs w:val="21"/>
                    </w:rPr>
                    <w:t>High</w:t>
                  </w:r>
                </w:p>
              </w:tc>
              <w:tc>
                <w:tcPr>
                  <w:tcW w:w="1358" w:type="dxa"/>
                </w:tcPr>
                <w:p w14:paraId="65197F01" w14:textId="77777777" w:rsidR="003B41E9" w:rsidRPr="00AF223D" w:rsidRDefault="00000000">
                  <w:pPr>
                    <w:jc w:val="center"/>
                    <w:rPr>
                      <w:sz w:val="21"/>
                      <w:szCs w:val="21"/>
                    </w:rPr>
                  </w:pPr>
                  <w:r w:rsidRPr="00AF223D">
                    <w:rPr>
                      <w:b/>
                      <w:bCs/>
                      <w:sz w:val="21"/>
                      <w:szCs w:val="21"/>
                    </w:rPr>
                    <w:t>Medium</w:t>
                  </w:r>
                </w:p>
              </w:tc>
              <w:tc>
                <w:tcPr>
                  <w:tcW w:w="1358" w:type="dxa"/>
                </w:tcPr>
                <w:p w14:paraId="1E2A3497" w14:textId="77777777" w:rsidR="003B41E9" w:rsidRPr="00AF223D" w:rsidRDefault="00000000">
                  <w:pPr>
                    <w:jc w:val="center"/>
                    <w:rPr>
                      <w:sz w:val="21"/>
                      <w:szCs w:val="21"/>
                    </w:rPr>
                  </w:pPr>
                  <w:r w:rsidRPr="00AF223D">
                    <w:rPr>
                      <w:b/>
                      <w:bCs/>
                      <w:sz w:val="21"/>
                      <w:szCs w:val="21"/>
                    </w:rPr>
                    <w:t>Low</w:t>
                  </w:r>
                </w:p>
              </w:tc>
              <w:tc>
                <w:tcPr>
                  <w:tcW w:w="1412" w:type="dxa"/>
                </w:tcPr>
                <w:p w14:paraId="5430358F" w14:textId="77777777" w:rsidR="003B41E9" w:rsidRPr="00AF223D" w:rsidRDefault="00000000">
                  <w:pPr>
                    <w:jc w:val="center"/>
                    <w:rPr>
                      <w:sz w:val="21"/>
                      <w:szCs w:val="21"/>
                    </w:rPr>
                  </w:pPr>
                  <w:r w:rsidRPr="00AF223D">
                    <w:rPr>
                      <w:b/>
                      <w:bCs/>
                      <w:sz w:val="21"/>
                      <w:szCs w:val="21"/>
                    </w:rPr>
                    <w:t>Very low</w:t>
                  </w:r>
                </w:p>
              </w:tc>
            </w:tr>
            <w:tr w:rsidR="00AF223D" w:rsidRPr="00AF223D" w14:paraId="580B10CB" w14:textId="77777777" w:rsidTr="00911843">
              <w:tc>
                <w:tcPr>
                  <w:tcW w:w="1359" w:type="dxa"/>
                </w:tcPr>
                <w:p w14:paraId="49853AA8" w14:textId="77777777" w:rsidR="003B41E9" w:rsidRPr="00AF223D" w:rsidRDefault="00000000">
                  <w:pPr>
                    <w:jc w:val="center"/>
                    <w:rPr>
                      <w:sz w:val="21"/>
                      <w:szCs w:val="21"/>
                    </w:rPr>
                  </w:pPr>
                  <w:r w:rsidRPr="00AF223D">
                    <w:rPr>
                      <w:sz w:val="21"/>
                      <w:szCs w:val="21"/>
                    </w:rPr>
                    <w:t>Sand (%)</w:t>
                  </w:r>
                </w:p>
              </w:tc>
              <w:tc>
                <w:tcPr>
                  <w:tcW w:w="1358" w:type="dxa"/>
                </w:tcPr>
                <w:p w14:paraId="172825C3" w14:textId="77777777" w:rsidR="003B41E9" w:rsidRPr="00AF223D" w:rsidRDefault="00000000">
                  <w:pPr>
                    <w:jc w:val="center"/>
                    <w:rPr>
                      <w:sz w:val="21"/>
                      <w:szCs w:val="21"/>
                    </w:rPr>
                  </w:pPr>
                  <w:r w:rsidRPr="00AF223D">
                    <w:rPr>
                      <w:sz w:val="21"/>
                      <w:szCs w:val="21"/>
                    </w:rPr>
                    <w:t>-0.34</w:t>
                  </w:r>
                </w:p>
              </w:tc>
              <w:tc>
                <w:tcPr>
                  <w:tcW w:w="1358" w:type="dxa"/>
                </w:tcPr>
                <w:p w14:paraId="7A3D5E70" w14:textId="77777777" w:rsidR="003B41E9" w:rsidRPr="00AF223D" w:rsidRDefault="00000000">
                  <w:pPr>
                    <w:jc w:val="center"/>
                    <w:rPr>
                      <w:sz w:val="21"/>
                      <w:szCs w:val="21"/>
                    </w:rPr>
                  </w:pPr>
                  <w:r w:rsidRPr="00AF223D">
                    <w:rPr>
                      <w:sz w:val="21"/>
                      <w:szCs w:val="21"/>
                    </w:rPr>
                    <w:t>42.76 ± 15.42</w:t>
                  </w:r>
                </w:p>
              </w:tc>
              <w:tc>
                <w:tcPr>
                  <w:tcW w:w="1358" w:type="dxa"/>
                </w:tcPr>
                <w:p w14:paraId="1F5CDC29" w14:textId="77777777" w:rsidR="003B41E9" w:rsidRPr="00AF223D" w:rsidRDefault="00000000">
                  <w:pPr>
                    <w:jc w:val="center"/>
                    <w:rPr>
                      <w:sz w:val="21"/>
                      <w:szCs w:val="21"/>
                    </w:rPr>
                  </w:pPr>
                  <w:r w:rsidRPr="00AF223D">
                    <w:rPr>
                      <w:sz w:val="21"/>
                      <w:szCs w:val="21"/>
                    </w:rPr>
                    <w:t>39.23 ± 19.24</w:t>
                  </w:r>
                </w:p>
              </w:tc>
              <w:tc>
                <w:tcPr>
                  <w:tcW w:w="1358" w:type="dxa"/>
                </w:tcPr>
                <w:p w14:paraId="4876D2E8" w14:textId="77777777" w:rsidR="003B41E9" w:rsidRPr="00AF223D" w:rsidRDefault="00000000">
                  <w:pPr>
                    <w:jc w:val="center"/>
                    <w:rPr>
                      <w:sz w:val="21"/>
                      <w:szCs w:val="21"/>
                    </w:rPr>
                  </w:pPr>
                  <w:r w:rsidRPr="00AF223D">
                    <w:rPr>
                      <w:sz w:val="21"/>
                      <w:szCs w:val="21"/>
                    </w:rPr>
                    <w:t>44.88 ± 18.91</w:t>
                  </w:r>
                </w:p>
              </w:tc>
              <w:tc>
                <w:tcPr>
                  <w:tcW w:w="1358" w:type="dxa"/>
                </w:tcPr>
                <w:p w14:paraId="1185E919" w14:textId="77777777" w:rsidR="003B41E9" w:rsidRPr="00AF223D" w:rsidRDefault="00000000">
                  <w:pPr>
                    <w:jc w:val="center"/>
                    <w:rPr>
                      <w:sz w:val="21"/>
                      <w:szCs w:val="21"/>
                    </w:rPr>
                  </w:pPr>
                  <w:r w:rsidRPr="00AF223D">
                    <w:rPr>
                      <w:sz w:val="21"/>
                      <w:szCs w:val="21"/>
                    </w:rPr>
                    <w:t>48.97 ± 18.64</w:t>
                  </w:r>
                </w:p>
              </w:tc>
              <w:tc>
                <w:tcPr>
                  <w:tcW w:w="1412" w:type="dxa"/>
                </w:tcPr>
                <w:p w14:paraId="594C1D40" w14:textId="77777777" w:rsidR="003B41E9" w:rsidRPr="00AF223D" w:rsidRDefault="00000000">
                  <w:pPr>
                    <w:jc w:val="center"/>
                    <w:rPr>
                      <w:sz w:val="21"/>
                      <w:szCs w:val="21"/>
                    </w:rPr>
                  </w:pPr>
                  <w:r w:rsidRPr="00AF223D">
                    <w:rPr>
                      <w:sz w:val="21"/>
                      <w:szCs w:val="21"/>
                    </w:rPr>
                    <w:t>66.15 ± 18.52</w:t>
                  </w:r>
                </w:p>
              </w:tc>
            </w:tr>
            <w:tr w:rsidR="00AF223D" w:rsidRPr="00AF223D" w14:paraId="20E871A2" w14:textId="77777777" w:rsidTr="00911843">
              <w:tc>
                <w:tcPr>
                  <w:tcW w:w="1359" w:type="dxa"/>
                </w:tcPr>
                <w:p w14:paraId="3B900ED8" w14:textId="77777777" w:rsidR="003B41E9" w:rsidRPr="00AF223D" w:rsidRDefault="00000000">
                  <w:pPr>
                    <w:jc w:val="center"/>
                    <w:rPr>
                      <w:sz w:val="21"/>
                      <w:szCs w:val="21"/>
                    </w:rPr>
                  </w:pPr>
                  <w:r w:rsidRPr="00AF223D">
                    <w:rPr>
                      <w:sz w:val="21"/>
                      <w:szCs w:val="21"/>
                    </w:rPr>
                    <w:t>Silt (%)</w:t>
                  </w:r>
                </w:p>
              </w:tc>
              <w:tc>
                <w:tcPr>
                  <w:tcW w:w="1358" w:type="dxa"/>
                </w:tcPr>
                <w:p w14:paraId="209638CE" w14:textId="77777777" w:rsidR="003B41E9" w:rsidRPr="00AF223D" w:rsidRDefault="00000000">
                  <w:pPr>
                    <w:jc w:val="center"/>
                    <w:rPr>
                      <w:sz w:val="21"/>
                      <w:szCs w:val="21"/>
                    </w:rPr>
                  </w:pPr>
                  <w:r w:rsidRPr="00AF223D">
                    <w:rPr>
                      <w:sz w:val="21"/>
                      <w:szCs w:val="21"/>
                    </w:rPr>
                    <w:t>0.24</w:t>
                  </w:r>
                </w:p>
              </w:tc>
              <w:tc>
                <w:tcPr>
                  <w:tcW w:w="1358" w:type="dxa"/>
                </w:tcPr>
                <w:p w14:paraId="3E0E037D" w14:textId="77777777" w:rsidR="003B41E9" w:rsidRPr="00AF223D" w:rsidRDefault="00000000">
                  <w:pPr>
                    <w:jc w:val="center"/>
                    <w:rPr>
                      <w:sz w:val="21"/>
                      <w:szCs w:val="21"/>
                    </w:rPr>
                  </w:pPr>
                  <w:r w:rsidRPr="00AF223D">
                    <w:rPr>
                      <w:sz w:val="21"/>
                      <w:szCs w:val="21"/>
                    </w:rPr>
                    <w:t>31.33 ± 14.08</w:t>
                  </w:r>
                </w:p>
              </w:tc>
              <w:tc>
                <w:tcPr>
                  <w:tcW w:w="1358" w:type="dxa"/>
                </w:tcPr>
                <w:p w14:paraId="3AA8A548" w14:textId="77777777" w:rsidR="003B41E9" w:rsidRPr="00AF223D" w:rsidRDefault="00000000">
                  <w:pPr>
                    <w:jc w:val="center"/>
                    <w:rPr>
                      <w:sz w:val="21"/>
                      <w:szCs w:val="21"/>
                    </w:rPr>
                  </w:pPr>
                  <w:r w:rsidRPr="00AF223D">
                    <w:rPr>
                      <w:sz w:val="21"/>
                      <w:szCs w:val="21"/>
                    </w:rPr>
                    <w:t>34.61 ± 15.62</w:t>
                  </w:r>
                </w:p>
              </w:tc>
              <w:tc>
                <w:tcPr>
                  <w:tcW w:w="1358" w:type="dxa"/>
                </w:tcPr>
                <w:p w14:paraId="72D990F2" w14:textId="77777777" w:rsidR="003B41E9" w:rsidRPr="00AF223D" w:rsidRDefault="00000000">
                  <w:pPr>
                    <w:jc w:val="center"/>
                    <w:rPr>
                      <w:sz w:val="21"/>
                      <w:szCs w:val="21"/>
                    </w:rPr>
                  </w:pPr>
                  <w:r w:rsidRPr="00AF223D">
                    <w:rPr>
                      <w:sz w:val="21"/>
                      <w:szCs w:val="21"/>
                    </w:rPr>
                    <w:t>30.95 ± 15.23</w:t>
                  </w:r>
                </w:p>
              </w:tc>
              <w:tc>
                <w:tcPr>
                  <w:tcW w:w="1358" w:type="dxa"/>
                </w:tcPr>
                <w:p w14:paraId="1F9A934B" w14:textId="77777777" w:rsidR="003B41E9" w:rsidRPr="00AF223D" w:rsidRDefault="00000000">
                  <w:pPr>
                    <w:jc w:val="center"/>
                    <w:rPr>
                      <w:sz w:val="21"/>
                      <w:szCs w:val="21"/>
                    </w:rPr>
                  </w:pPr>
                  <w:r w:rsidRPr="00AF223D">
                    <w:rPr>
                      <w:sz w:val="21"/>
                      <w:szCs w:val="21"/>
                    </w:rPr>
                    <w:t>29.05 ± 14.06</w:t>
                  </w:r>
                </w:p>
              </w:tc>
              <w:tc>
                <w:tcPr>
                  <w:tcW w:w="1412" w:type="dxa"/>
                </w:tcPr>
                <w:p w14:paraId="081175FF" w14:textId="77777777" w:rsidR="003B41E9" w:rsidRPr="00AF223D" w:rsidRDefault="00000000">
                  <w:pPr>
                    <w:jc w:val="center"/>
                    <w:rPr>
                      <w:sz w:val="21"/>
                      <w:szCs w:val="21"/>
                    </w:rPr>
                  </w:pPr>
                  <w:r w:rsidRPr="00AF223D">
                    <w:rPr>
                      <w:sz w:val="21"/>
                      <w:szCs w:val="21"/>
                    </w:rPr>
                    <w:t>19.79 ± 12.78</w:t>
                  </w:r>
                </w:p>
              </w:tc>
            </w:tr>
            <w:tr w:rsidR="00AF223D" w:rsidRPr="00AF223D" w14:paraId="30841BF7" w14:textId="77777777" w:rsidTr="00911843">
              <w:tc>
                <w:tcPr>
                  <w:tcW w:w="1359" w:type="dxa"/>
                </w:tcPr>
                <w:p w14:paraId="105C1DF5" w14:textId="77777777" w:rsidR="003B41E9" w:rsidRPr="00AF223D" w:rsidRDefault="00000000">
                  <w:pPr>
                    <w:jc w:val="center"/>
                    <w:rPr>
                      <w:sz w:val="21"/>
                      <w:szCs w:val="21"/>
                    </w:rPr>
                  </w:pPr>
                  <w:r w:rsidRPr="00AF223D">
                    <w:rPr>
                      <w:sz w:val="21"/>
                      <w:szCs w:val="21"/>
                    </w:rPr>
                    <w:t>Clay (%)</w:t>
                  </w:r>
                </w:p>
              </w:tc>
              <w:tc>
                <w:tcPr>
                  <w:tcW w:w="1358" w:type="dxa"/>
                </w:tcPr>
                <w:p w14:paraId="38F60C22" w14:textId="77777777" w:rsidR="003B41E9" w:rsidRPr="00AF223D" w:rsidRDefault="00000000">
                  <w:pPr>
                    <w:jc w:val="center"/>
                    <w:rPr>
                      <w:sz w:val="21"/>
                      <w:szCs w:val="21"/>
                    </w:rPr>
                  </w:pPr>
                  <w:r w:rsidRPr="00AF223D">
                    <w:rPr>
                      <w:sz w:val="21"/>
                      <w:szCs w:val="21"/>
                    </w:rPr>
                    <w:t>0.41</w:t>
                  </w:r>
                </w:p>
              </w:tc>
              <w:tc>
                <w:tcPr>
                  <w:tcW w:w="1358" w:type="dxa"/>
                </w:tcPr>
                <w:p w14:paraId="523C3CCE" w14:textId="77777777" w:rsidR="003B41E9" w:rsidRPr="00AF223D" w:rsidRDefault="00000000">
                  <w:pPr>
                    <w:jc w:val="center"/>
                    <w:rPr>
                      <w:sz w:val="21"/>
                      <w:szCs w:val="21"/>
                    </w:rPr>
                  </w:pPr>
                  <w:r w:rsidRPr="00AF223D">
                    <w:rPr>
                      <w:sz w:val="21"/>
                      <w:szCs w:val="21"/>
                    </w:rPr>
                    <w:t>25.91 ± 7.34</w:t>
                  </w:r>
                </w:p>
              </w:tc>
              <w:tc>
                <w:tcPr>
                  <w:tcW w:w="1358" w:type="dxa"/>
                </w:tcPr>
                <w:p w14:paraId="6BF59D79" w14:textId="77777777" w:rsidR="003B41E9" w:rsidRPr="00AF223D" w:rsidRDefault="00000000">
                  <w:pPr>
                    <w:jc w:val="center"/>
                    <w:rPr>
                      <w:sz w:val="21"/>
                      <w:szCs w:val="21"/>
                    </w:rPr>
                  </w:pPr>
                  <w:r w:rsidRPr="00AF223D">
                    <w:rPr>
                      <w:sz w:val="21"/>
                      <w:szCs w:val="21"/>
                    </w:rPr>
                    <w:t>26.16 ± 10.46</w:t>
                  </w:r>
                </w:p>
              </w:tc>
              <w:tc>
                <w:tcPr>
                  <w:tcW w:w="1358" w:type="dxa"/>
                </w:tcPr>
                <w:p w14:paraId="48A727B6" w14:textId="77777777" w:rsidR="003B41E9" w:rsidRPr="00AF223D" w:rsidRDefault="00000000">
                  <w:pPr>
                    <w:jc w:val="center"/>
                    <w:rPr>
                      <w:sz w:val="21"/>
                      <w:szCs w:val="21"/>
                    </w:rPr>
                  </w:pPr>
                  <w:r w:rsidRPr="00AF223D">
                    <w:rPr>
                      <w:sz w:val="21"/>
                      <w:szCs w:val="21"/>
                    </w:rPr>
                    <w:t>24.18 ± 10.64</w:t>
                  </w:r>
                </w:p>
              </w:tc>
              <w:tc>
                <w:tcPr>
                  <w:tcW w:w="1358" w:type="dxa"/>
                </w:tcPr>
                <w:p w14:paraId="4FAB5B97" w14:textId="77777777" w:rsidR="003B41E9" w:rsidRPr="00AF223D" w:rsidRDefault="00000000">
                  <w:pPr>
                    <w:jc w:val="center"/>
                    <w:rPr>
                      <w:sz w:val="21"/>
                      <w:szCs w:val="21"/>
                    </w:rPr>
                  </w:pPr>
                  <w:r w:rsidRPr="00AF223D">
                    <w:rPr>
                      <w:sz w:val="21"/>
                      <w:szCs w:val="21"/>
                    </w:rPr>
                    <w:t>21.99 ± 10.56</w:t>
                  </w:r>
                </w:p>
              </w:tc>
              <w:tc>
                <w:tcPr>
                  <w:tcW w:w="1412" w:type="dxa"/>
                </w:tcPr>
                <w:p w14:paraId="7BE58DF6" w14:textId="77777777" w:rsidR="003B41E9" w:rsidRPr="00AF223D" w:rsidRDefault="00000000">
                  <w:pPr>
                    <w:jc w:val="center"/>
                    <w:rPr>
                      <w:sz w:val="21"/>
                      <w:szCs w:val="21"/>
                    </w:rPr>
                  </w:pPr>
                  <w:r w:rsidRPr="00AF223D">
                    <w:rPr>
                      <w:sz w:val="21"/>
                      <w:szCs w:val="21"/>
                    </w:rPr>
                    <w:t>14.07 ± 10.59</w:t>
                  </w:r>
                </w:p>
              </w:tc>
            </w:tr>
            <w:tr w:rsidR="00AF223D" w:rsidRPr="00AF223D" w14:paraId="101A749D" w14:textId="77777777" w:rsidTr="00911843">
              <w:tc>
                <w:tcPr>
                  <w:tcW w:w="1359" w:type="dxa"/>
                </w:tcPr>
                <w:p w14:paraId="5731A779" w14:textId="77777777" w:rsidR="003B41E9" w:rsidRPr="00AF223D" w:rsidRDefault="00000000">
                  <w:pPr>
                    <w:jc w:val="center"/>
                    <w:rPr>
                      <w:sz w:val="21"/>
                      <w:szCs w:val="21"/>
                    </w:rPr>
                  </w:pPr>
                  <w:r w:rsidRPr="00AF223D">
                    <w:rPr>
                      <w:sz w:val="21"/>
                      <w:szCs w:val="21"/>
                    </w:rPr>
                    <w:t>pH</w:t>
                  </w:r>
                </w:p>
              </w:tc>
              <w:tc>
                <w:tcPr>
                  <w:tcW w:w="1358" w:type="dxa"/>
                </w:tcPr>
                <w:p w14:paraId="26F2B782" w14:textId="77777777" w:rsidR="003B41E9" w:rsidRPr="00AF223D" w:rsidRDefault="00000000">
                  <w:pPr>
                    <w:jc w:val="center"/>
                    <w:rPr>
                      <w:sz w:val="21"/>
                      <w:szCs w:val="21"/>
                    </w:rPr>
                  </w:pPr>
                  <w:r w:rsidRPr="00AF223D">
                    <w:rPr>
                      <w:sz w:val="21"/>
                      <w:szCs w:val="21"/>
                    </w:rPr>
                    <w:t>-0.35</w:t>
                  </w:r>
                </w:p>
              </w:tc>
              <w:tc>
                <w:tcPr>
                  <w:tcW w:w="1358" w:type="dxa"/>
                </w:tcPr>
                <w:p w14:paraId="4876B4F1" w14:textId="77777777" w:rsidR="003B41E9" w:rsidRPr="00AF223D" w:rsidRDefault="00000000">
                  <w:pPr>
                    <w:jc w:val="center"/>
                    <w:rPr>
                      <w:sz w:val="21"/>
                      <w:szCs w:val="21"/>
                    </w:rPr>
                  </w:pPr>
                  <w:r w:rsidRPr="00AF223D">
                    <w:rPr>
                      <w:sz w:val="21"/>
                      <w:szCs w:val="21"/>
                    </w:rPr>
                    <w:t>7.03 ± 0.61</w:t>
                  </w:r>
                </w:p>
              </w:tc>
              <w:tc>
                <w:tcPr>
                  <w:tcW w:w="1358" w:type="dxa"/>
                </w:tcPr>
                <w:p w14:paraId="0D085CAB" w14:textId="77777777" w:rsidR="003B41E9" w:rsidRPr="00AF223D" w:rsidRDefault="00000000">
                  <w:pPr>
                    <w:jc w:val="center"/>
                    <w:rPr>
                      <w:sz w:val="21"/>
                      <w:szCs w:val="21"/>
                    </w:rPr>
                  </w:pPr>
                  <w:r w:rsidRPr="00AF223D">
                    <w:rPr>
                      <w:sz w:val="21"/>
                      <w:szCs w:val="21"/>
                    </w:rPr>
                    <w:t>7.35 ± 0.55</w:t>
                  </w:r>
                </w:p>
              </w:tc>
              <w:tc>
                <w:tcPr>
                  <w:tcW w:w="1358" w:type="dxa"/>
                </w:tcPr>
                <w:p w14:paraId="14D7BACE" w14:textId="77777777" w:rsidR="003B41E9" w:rsidRPr="00AF223D" w:rsidRDefault="00000000">
                  <w:pPr>
                    <w:jc w:val="center"/>
                    <w:rPr>
                      <w:sz w:val="21"/>
                      <w:szCs w:val="21"/>
                    </w:rPr>
                  </w:pPr>
                  <w:r w:rsidRPr="00AF223D">
                    <w:rPr>
                      <w:sz w:val="21"/>
                      <w:szCs w:val="21"/>
                    </w:rPr>
                    <w:t>7.16 ± 0.63</w:t>
                  </w:r>
                </w:p>
              </w:tc>
              <w:tc>
                <w:tcPr>
                  <w:tcW w:w="1358" w:type="dxa"/>
                </w:tcPr>
                <w:p w14:paraId="33262A88" w14:textId="77777777" w:rsidR="003B41E9" w:rsidRPr="00AF223D" w:rsidRDefault="00000000">
                  <w:pPr>
                    <w:jc w:val="center"/>
                    <w:rPr>
                      <w:sz w:val="21"/>
                      <w:szCs w:val="21"/>
                    </w:rPr>
                  </w:pPr>
                  <w:r w:rsidRPr="00AF223D">
                    <w:rPr>
                      <w:sz w:val="21"/>
                      <w:szCs w:val="21"/>
                    </w:rPr>
                    <w:t>7.64 ± 0.61</w:t>
                  </w:r>
                </w:p>
              </w:tc>
              <w:tc>
                <w:tcPr>
                  <w:tcW w:w="1412" w:type="dxa"/>
                </w:tcPr>
                <w:p w14:paraId="5A3A7800" w14:textId="77777777" w:rsidR="003B41E9" w:rsidRPr="00AF223D" w:rsidRDefault="00000000">
                  <w:pPr>
                    <w:jc w:val="center"/>
                    <w:rPr>
                      <w:sz w:val="21"/>
                      <w:szCs w:val="21"/>
                    </w:rPr>
                  </w:pPr>
                  <w:r w:rsidRPr="00AF223D">
                    <w:rPr>
                      <w:sz w:val="21"/>
                      <w:szCs w:val="21"/>
                    </w:rPr>
                    <w:t>7.72 ± 0.54</w:t>
                  </w:r>
                </w:p>
              </w:tc>
            </w:tr>
            <w:tr w:rsidR="00AF223D" w:rsidRPr="00AF223D" w14:paraId="00E5FB3D" w14:textId="77777777" w:rsidTr="00911843">
              <w:tc>
                <w:tcPr>
                  <w:tcW w:w="1359" w:type="dxa"/>
                </w:tcPr>
                <w:p w14:paraId="61F871FE" w14:textId="77777777" w:rsidR="003B41E9" w:rsidRPr="00AF223D" w:rsidRDefault="00000000">
                  <w:pPr>
                    <w:jc w:val="center"/>
                    <w:rPr>
                      <w:sz w:val="21"/>
                      <w:szCs w:val="21"/>
                    </w:rPr>
                  </w:pPr>
                  <w:r w:rsidRPr="00AF223D">
                    <w:rPr>
                      <w:sz w:val="21"/>
                      <w:szCs w:val="21"/>
                    </w:rPr>
                    <w:t>OM (%)</w:t>
                  </w:r>
                </w:p>
              </w:tc>
              <w:tc>
                <w:tcPr>
                  <w:tcW w:w="1358" w:type="dxa"/>
                </w:tcPr>
                <w:p w14:paraId="1339F7A4" w14:textId="77777777" w:rsidR="003B41E9" w:rsidRPr="00AF223D" w:rsidRDefault="00000000">
                  <w:pPr>
                    <w:jc w:val="center"/>
                    <w:rPr>
                      <w:sz w:val="21"/>
                      <w:szCs w:val="21"/>
                    </w:rPr>
                  </w:pPr>
                  <w:r w:rsidRPr="00AF223D">
                    <w:rPr>
                      <w:sz w:val="21"/>
                      <w:szCs w:val="21"/>
                    </w:rPr>
                    <w:t>0.27</w:t>
                  </w:r>
                </w:p>
              </w:tc>
              <w:tc>
                <w:tcPr>
                  <w:tcW w:w="1358" w:type="dxa"/>
                </w:tcPr>
                <w:p w14:paraId="31DE044E" w14:textId="77777777" w:rsidR="003B41E9" w:rsidRPr="00AF223D" w:rsidRDefault="00000000">
                  <w:pPr>
                    <w:jc w:val="center"/>
                    <w:rPr>
                      <w:sz w:val="21"/>
                      <w:szCs w:val="21"/>
                    </w:rPr>
                  </w:pPr>
                  <w:r w:rsidRPr="00AF223D">
                    <w:rPr>
                      <w:sz w:val="21"/>
                      <w:szCs w:val="21"/>
                    </w:rPr>
                    <w:t>1.79 ± 0.61</w:t>
                  </w:r>
                </w:p>
              </w:tc>
              <w:tc>
                <w:tcPr>
                  <w:tcW w:w="1358" w:type="dxa"/>
                </w:tcPr>
                <w:p w14:paraId="2D57E0E1" w14:textId="77777777" w:rsidR="003B41E9" w:rsidRPr="00AF223D" w:rsidRDefault="00000000">
                  <w:pPr>
                    <w:jc w:val="center"/>
                    <w:rPr>
                      <w:sz w:val="21"/>
                      <w:szCs w:val="21"/>
                    </w:rPr>
                  </w:pPr>
                  <w:r w:rsidRPr="00AF223D">
                    <w:rPr>
                      <w:sz w:val="21"/>
                      <w:szCs w:val="21"/>
                    </w:rPr>
                    <w:t>1.69 ± 0.55</w:t>
                  </w:r>
                </w:p>
              </w:tc>
              <w:tc>
                <w:tcPr>
                  <w:tcW w:w="1358" w:type="dxa"/>
                </w:tcPr>
                <w:p w14:paraId="1F5AE897" w14:textId="77777777" w:rsidR="003B41E9" w:rsidRPr="00AF223D" w:rsidRDefault="00000000">
                  <w:pPr>
                    <w:jc w:val="center"/>
                    <w:rPr>
                      <w:sz w:val="21"/>
                      <w:szCs w:val="21"/>
                    </w:rPr>
                  </w:pPr>
                  <w:r w:rsidRPr="00AF223D">
                    <w:rPr>
                      <w:sz w:val="21"/>
                      <w:szCs w:val="21"/>
                    </w:rPr>
                    <w:t>1.54 ± 0.56</w:t>
                  </w:r>
                </w:p>
              </w:tc>
              <w:tc>
                <w:tcPr>
                  <w:tcW w:w="1358" w:type="dxa"/>
                </w:tcPr>
                <w:p w14:paraId="7D999BF4" w14:textId="77777777" w:rsidR="003B41E9" w:rsidRPr="00AF223D" w:rsidRDefault="00000000">
                  <w:pPr>
                    <w:jc w:val="center"/>
                    <w:rPr>
                      <w:sz w:val="21"/>
                      <w:szCs w:val="21"/>
                    </w:rPr>
                  </w:pPr>
                  <w:r w:rsidRPr="00AF223D">
                    <w:rPr>
                      <w:sz w:val="21"/>
                      <w:szCs w:val="21"/>
                    </w:rPr>
                    <w:t>1.48 ± 0.64</w:t>
                  </w:r>
                </w:p>
              </w:tc>
              <w:tc>
                <w:tcPr>
                  <w:tcW w:w="1412" w:type="dxa"/>
                </w:tcPr>
                <w:p w14:paraId="0900DB33" w14:textId="77777777" w:rsidR="003B41E9" w:rsidRPr="00AF223D" w:rsidRDefault="00000000">
                  <w:pPr>
                    <w:jc w:val="center"/>
                    <w:rPr>
                      <w:sz w:val="21"/>
                      <w:szCs w:val="21"/>
                    </w:rPr>
                  </w:pPr>
                  <w:r w:rsidRPr="00AF223D">
                    <w:rPr>
                      <w:sz w:val="21"/>
                      <w:szCs w:val="21"/>
                    </w:rPr>
                    <w:t>1.35 ± 0.62</w:t>
                  </w:r>
                </w:p>
              </w:tc>
            </w:tr>
            <w:tr w:rsidR="00AF223D" w:rsidRPr="00AF223D" w14:paraId="067ECB4B" w14:textId="77777777" w:rsidTr="00911843">
              <w:tc>
                <w:tcPr>
                  <w:tcW w:w="1359" w:type="dxa"/>
                </w:tcPr>
                <w:p w14:paraId="11E4001F" w14:textId="77777777" w:rsidR="003B41E9" w:rsidRPr="00AF223D" w:rsidRDefault="00000000">
                  <w:pPr>
                    <w:jc w:val="center"/>
                    <w:rPr>
                      <w:sz w:val="21"/>
                      <w:szCs w:val="21"/>
                    </w:rPr>
                  </w:pPr>
                  <w:r w:rsidRPr="00AF223D">
                    <w:rPr>
                      <w:sz w:val="21"/>
                      <w:szCs w:val="21"/>
                    </w:rPr>
                    <w:t>EC (</w:t>
                  </w:r>
                  <w:proofErr w:type="spellStart"/>
                  <w:r w:rsidRPr="00AF223D">
                    <w:rPr>
                      <w:sz w:val="21"/>
                      <w:szCs w:val="21"/>
                    </w:rPr>
                    <w:t>dS</w:t>
                  </w:r>
                  <w:proofErr w:type="spellEnd"/>
                  <w:r w:rsidRPr="00AF223D">
                    <w:rPr>
                      <w:sz w:val="21"/>
                      <w:szCs w:val="21"/>
                    </w:rPr>
                    <w:t xml:space="preserve"> m </w:t>
                  </w:r>
                  <w:r w:rsidRPr="00AF223D">
                    <w:rPr>
                      <w:sz w:val="21"/>
                      <w:szCs w:val="21"/>
                      <w:vertAlign w:val="superscript"/>
                    </w:rPr>
                    <w:t>-1</w:t>
                  </w:r>
                  <w:r w:rsidRPr="00AF223D">
                    <w:rPr>
                      <w:sz w:val="21"/>
                      <w:szCs w:val="21"/>
                    </w:rPr>
                    <w:t>)</w:t>
                  </w:r>
                </w:p>
              </w:tc>
              <w:tc>
                <w:tcPr>
                  <w:tcW w:w="1358" w:type="dxa"/>
                </w:tcPr>
                <w:p w14:paraId="72E55823" w14:textId="77777777" w:rsidR="003B41E9" w:rsidRPr="00AF223D" w:rsidRDefault="00000000">
                  <w:pPr>
                    <w:jc w:val="center"/>
                    <w:rPr>
                      <w:sz w:val="21"/>
                      <w:szCs w:val="21"/>
                    </w:rPr>
                  </w:pPr>
                  <w:r w:rsidRPr="00AF223D">
                    <w:rPr>
                      <w:sz w:val="21"/>
                      <w:szCs w:val="21"/>
                    </w:rPr>
                    <w:t>-0.04</w:t>
                  </w:r>
                </w:p>
              </w:tc>
              <w:tc>
                <w:tcPr>
                  <w:tcW w:w="1358" w:type="dxa"/>
                </w:tcPr>
                <w:p w14:paraId="637328DE" w14:textId="77777777" w:rsidR="003B41E9" w:rsidRPr="00AF223D" w:rsidRDefault="00000000">
                  <w:pPr>
                    <w:jc w:val="center"/>
                    <w:rPr>
                      <w:sz w:val="21"/>
                      <w:szCs w:val="21"/>
                    </w:rPr>
                  </w:pPr>
                  <w:r w:rsidRPr="00AF223D">
                    <w:rPr>
                      <w:sz w:val="21"/>
                      <w:szCs w:val="21"/>
                    </w:rPr>
                    <w:t>16.10 ± 44.60</w:t>
                  </w:r>
                </w:p>
              </w:tc>
              <w:tc>
                <w:tcPr>
                  <w:tcW w:w="1358" w:type="dxa"/>
                </w:tcPr>
                <w:p w14:paraId="53F3AF54" w14:textId="77777777" w:rsidR="003B41E9" w:rsidRPr="00AF223D" w:rsidRDefault="00000000">
                  <w:pPr>
                    <w:jc w:val="center"/>
                    <w:rPr>
                      <w:sz w:val="21"/>
                      <w:szCs w:val="21"/>
                    </w:rPr>
                  </w:pPr>
                  <w:r w:rsidRPr="00AF223D">
                    <w:rPr>
                      <w:sz w:val="21"/>
                      <w:szCs w:val="21"/>
                    </w:rPr>
                    <w:t>11.25 ± 11.99</w:t>
                  </w:r>
                </w:p>
              </w:tc>
              <w:tc>
                <w:tcPr>
                  <w:tcW w:w="1358" w:type="dxa"/>
                </w:tcPr>
                <w:p w14:paraId="469A0BD2" w14:textId="77777777" w:rsidR="003B41E9" w:rsidRPr="00AF223D" w:rsidRDefault="00000000">
                  <w:pPr>
                    <w:jc w:val="center"/>
                    <w:rPr>
                      <w:sz w:val="21"/>
                      <w:szCs w:val="21"/>
                    </w:rPr>
                  </w:pPr>
                  <w:r w:rsidRPr="00AF223D">
                    <w:rPr>
                      <w:sz w:val="21"/>
                      <w:szCs w:val="21"/>
                    </w:rPr>
                    <w:t>13.35 ± 22.21</w:t>
                  </w:r>
                </w:p>
              </w:tc>
              <w:tc>
                <w:tcPr>
                  <w:tcW w:w="1358" w:type="dxa"/>
                </w:tcPr>
                <w:p w14:paraId="1EC45D1E" w14:textId="77777777" w:rsidR="003B41E9" w:rsidRPr="00AF223D" w:rsidRDefault="00000000">
                  <w:pPr>
                    <w:jc w:val="center"/>
                    <w:rPr>
                      <w:sz w:val="21"/>
                      <w:szCs w:val="21"/>
                    </w:rPr>
                  </w:pPr>
                  <w:r w:rsidRPr="00AF223D">
                    <w:rPr>
                      <w:sz w:val="21"/>
                      <w:szCs w:val="21"/>
                    </w:rPr>
                    <w:t>13.41 ± 15.33</w:t>
                  </w:r>
                </w:p>
              </w:tc>
              <w:tc>
                <w:tcPr>
                  <w:tcW w:w="1412" w:type="dxa"/>
                </w:tcPr>
                <w:p w14:paraId="6E351BF7" w14:textId="77777777" w:rsidR="003B41E9" w:rsidRPr="00AF223D" w:rsidRDefault="00000000">
                  <w:pPr>
                    <w:jc w:val="center"/>
                    <w:rPr>
                      <w:sz w:val="21"/>
                      <w:szCs w:val="21"/>
                    </w:rPr>
                  </w:pPr>
                  <w:r w:rsidRPr="00AF223D">
                    <w:rPr>
                      <w:sz w:val="21"/>
                      <w:szCs w:val="21"/>
                    </w:rPr>
                    <w:t>10.77 ± 11.18</w:t>
                  </w:r>
                </w:p>
              </w:tc>
            </w:tr>
            <w:tr w:rsidR="00AF223D" w:rsidRPr="00AF223D" w14:paraId="61EA3247" w14:textId="77777777" w:rsidTr="00911843">
              <w:tc>
                <w:tcPr>
                  <w:tcW w:w="1359" w:type="dxa"/>
                </w:tcPr>
                <w:p w14:paraId="4949B9C3" w14:textId="77777777" w:rsidR="003B41E9" w:rsidRPr="00AF223D" w:rsidRDefault="00000000">
                  <w:pPr>
                    <w:jc w:val="center"/>
                    <w:rPr>
                      <w:sz w:val="21"/>
                      <w:szCs w:val="21"/>
                    </w:rPr>
                  </w:pPr>
                  <w:r w:rsidRPr="00AF223D">
                    <w:rPr>
                      <w:sz w:val="21"/>
                      <w:szCs w:val="21"/>
                    </w:rPr>
                    <w:t>ESP (%)</w:t>
                  </w:r>
                </w:p>
              </w:tc>
              <w:tc>
                <w:tcPr>
                  <w:tcW w:w="1358" w:type="dxa"/>
                </w:tcPr>
                <w:p w14:paraId="2C684C8D" w14:textId="77777777" w:rsidR="003B41E9" w:rsidRPr="00AF223D" w:rsidRDefault="00000000">
                  <w:pPr>
                    <w:jc w:val="center"/>
                    <w:rPr>
                      <w:sz w:val="21"/>
                      <w:szCs w:val="21"/>
                    </w:rPr>
                  </w:pPr>
                  <w:r w:rsidRPr="00AF223D">
                    <w:rPr>
                      <w:sz w:val="21"/>
                      <w:szCs w:val="21"/>
                    </w:rPr>
                    <w:t>-0.62</w:t>
                  </w:r>
                </w:p>
              </w:tc>
              <w:tc>
                <w:tcPr>
                  <w:tcW w:w="1358" w:type="dxa"/>
                </w:tcPr>
                <w:p w14:paraId="384D877A" w14:textId="77777777" w:rsidR="003B41E9" w:rsidRPr="00AF223D" w:rsidRDefault="00000000">
                  <w:pPr>
                    <w:jc w:val="center"/>
                    <w:rPr>
                      <w:sz w:val="21"/>
                      <w:szCs w:val="21"/>
                    </w:rPr>
                  </w:pPr>
                  <w:r w:rsidRPr="00AF223D">
                    <w:rPr>
                      <w:sz w:val="21"/>
                      <w:szCs w:val="21"/>
                    </w:rPr>
                    <w:t>1.73 ± 1.33</w:t>
                  </w:r>
                </w:p>
              </w:tc>
              <w:tc>
                <w:tcPr>
                  <w:tcW w:w="1358" w:type="dxa"/>
                </w:tcPr>
                <w:p w14:paraId="11532D63" w14:textId="77777777" w:rsidR="003B41E9" w:rsidRPr="00AF223D" w:rsidRDefault="00000000">
                  <w:pPr>
                    <w:jc w:val="center"/>
                    <w:rPr>
                      <w:sz w:val="21"/>
                      <w:szCs w:val="21"/>
                    </w:rPr>
                  </w:pPr>
                  <w:r w:rsidRPr="00AF223D">
                    <w:rPr>
                      <w:sz w:val="21"/>
                      <w:szCs w:val="21"/>
                    </w:rPr>
                    <w:t>3.11 ± 2.41</w:t>
                  </w:r>
                </w:p>
              </w:tc>
              <w:tc>
                <w:tcPr>
                  <w:tcW w:w="1358" w:type="dxa"/>
                </w:tcPr>
                <w:p w14:paraId="3F00EF2E" w14:textId="77777777" w:rsidR="003B41E9" w:rsidRPr="00AF223D" w:rsidRDefault="00000000">
                  <w:pPr>
                    <w:jc w:val="center"/>
                    <w:rPr>
                      <w:sz w:val="21"/>
                      <w:szCs w:val="21"/>
                    </w:rPr>
                  </w:pPr>
                  <w:r w:rsidRPr="00AF223D">
                    <w:rPr>
                      <w:sz w:val="21"/>
                      <w:szCs w:val="21"/>
                    </w:rPr>
                    <w:t>5.96 ± 4.87</w:t>
                  </w:r>
                </w:p>
              </w:tc>
              <w:tc>
                <w:tcPr>
                  <w:tcW w:w="1358" w:type="dxa"/>
                </w:tcPr>
                <w:p w14:paraId="21E484BD" w14:textId="77777777" w:rsidR="003B41E9" w:rsidRPr="00AF223D" w:rsidRDefault="00000000">
                  <w:pPr>
                    <w:jc w:val="center"/>
                    <w:rPr>
                      <w:sz w:val="21"/>
                      <w:szCs w:val="21"/>
                    </w:rPr>
                  </w:pPr>
                  <w:r w:rsidRPr="00AF223D">
                    <w:rPr>
                      <w:sz w:val="21"/>
                      <w:szCs w:val="21"/>
                    </w:rPr>
                    <w:t>7.09 ± 5.94</w:t>
                  </w:r>
                </w:p>
              </w:tc>
              <w:tc>
                <w:tcPr>
                  <w:tcW w:w="1412" w:type="dxa"/>
                </w:tcPr>
                <w:p w14:paraId="56C51602" w14:textId="77777777" w:rsidR="003B41E9" w:rsidRPr="00AF223D" w:rsidRDefault="00000000">
                  <w:pPr>
                    <w:jc w:val="center"/>
                    <w:rPr>
                      <w:sz w:val="21"/>
                      <w:szCs w:val="21"/>
                    </w:rPr>
                  </w:pPr>
                  <w:r w:rsidRPr="00AF223D">
                    <w:rPr>
                      <w:sz w:val="21"/>
                      <w:szCs w:val="21"/>
                    </w:rPr>
                    <w:t>11.51 ± 7.03</w:t>
                  </w:r>
                </w:p>
              </w:tc>
            </w:tr>
            <w:tr w:rsidR="00AF223D" w:rsidRPr="00AF223D" w14:paraId="35D66AEB" w14:textId="77777777" w:rsidTr="00911843">
              <w:tc>
                <w:tcPr>
                  <w:tcW w:w="1359" w:type="dxa"/>
                </w:tcPr>
                <w:p w14:paraId="7097A8AE" w14:textId="77777777" w:rsidR="003B41E9" w:rsidRPr="00AF223D" w:rsidRDefault="00000000">
                  <w:pPr>
                    <w:jc w:val="center"/>
                    <w:rPr>
                      <w:sz w:val="21"/>
                      <w:szCs w:val="21"/>
                    </w:rPr>
                  </w:pPr>
                  <w:r w:rsidRPr="00AF223D">
                    <w:rPr>
                      <w:sz w:val="21"/>
                      <w:szCs w:val="21"/>
                    </w:rPr>
                    <w:t>K (mg kg </w:t>
                  </w:r>
                  <w:r w:rsidRPr="00AF223D">
                    <w:rPr>
                      <w:sz w:val="21"/>
                      <w:szCs w:val="21"/>
                      <w:vertAlign w:val="superscript"/>
                    </w:rPr>
                    <w:t>-1)</w:t>
                  </w:r>
                </w:p>
              </w:tc>
              <w:tc>
                <w:tcPr>
                  <w:tcW w:w="1358" w:type="dxa"/>
                </w:tcPr>
                <w:p w14:paraId="052F01B7" w14:textId="77777777" w:rsidR="003B41E9" w:rsidRPr="00AF223D" w:rsidRDefault="00000000">
                  <w:pPr>
                    <w:jc w:val="center"/>
                    <w:rPr>
                      <w:sz w:val="21"/>
                      <w:szCs w:val="21"/>
                    </w:rPr>
                  </w:pPr>
                  <w:r w:rsidRPr="00AF223D">
                    <w:rPr>
                      <w:sz w:val="21"/>
                      <w:szCs w:val="21"/>
                    </w:rPr>
                    <w:t>0.11</w:t>
                  </w:r>
                </w:p>
              </w:tc>
              <w:tc>
                <w:tcPr>
                  <w:tcW w:w="1358" w:type="dxa"/>
                </w:tcPr>
                <w:p w14:paraId="77618F89" w14:textId="77777777" w:rsidR="003B41E9" w:rsidRPr="00AF223D" w:rsidRDefault="00000000">
                  <w:pPr>
                    <w:jc w:val="center"/>
                    <w:rPr>
                      <w:sz w:val="21"/>
                      <w:szCs w:val="21"/>
                    </w:rPr>
                  </w:pPr>
                  <w:r w:rsidRPr="00AF223D">
                    <w:rPr>
                      <w:sz w:val="21"/>
                      <w:szCs w:val="21"/>
                    </w:rPr>
                    <w:t>140.39 ± 127.13</w:t>
                  </w:r>
                </w:p>
              </w:tc>
              <w:tc>
                <w:tcPr>
                  <w:tcW w:w="1358" w:type="dxa"/>
                </w:tcPr>
                <w:p w14:paraId="74CC749A" w14:textId="77777777" w:rsidR="003B41E9" w:rsidRPr="00AF223D" w:rsidRDefault="00000000">
                  <w:pPr>
                    <w:jc w:val="center"/>
                    <w:rPr>
                      <w:sz w:val="21"/>
                      <w:szCs w:val="21"/>
                    </w:rPr>
                  </w:pPr>
                  <w:r w:rsidRPr="00AF223D">
                    <w:rPr>
                      <w:sz w:val="21"/>
                      <w:szCs w:val="21"/>
                    </w:rPr>
                    <w:t>161.03 ± 118.26</w:t>
                  </w:r>
                </w:p>
              </w:tc>
              <w:tc>
                <w:tcPr>
                  <w:tcW w:w="1358" w:type="dxa"/>
                </w:tcPr>
                <w:p w14:paraId="62A21F45" w14:textId="77777777" w:rsidR="003B41E9" w:rsidRPr="00AF223D" w:rsidRDefault="00000000">
                  <w:pPr>
                    <w:jc w:val="center"/>
                    <w:rPr>
                      <w:sz w:val="21"/>
                      <w:szCs w:val="21"/>
                    </w:rPr>
                  </w:pPr>
                  <w:r w:rsidRPr="00AF223D">
                    <w:rPr>
                      <w:sz w:val="21"/>
                      <w:szCs w:val="21"/>
                    </w:rPr>
                    <w:t>130.05 ± 105.45</w:t>
                  </w:r>
                </w:p>
              </w:tc>
              <w:tc>
                <w:tcPr>
                  <w:tcW w:w="1358" w:type="dxa"/>
                </w:tcPr>
                <w:p w14:paraId="0096867E" w14:textId="77777777" w:rsidR="003B41E9" w:rsidRPr="00AF223D" w:rsidRDefault="00000000">
                  <w:pPr>
                    <w:jc w:val="center"/>
                    <w:rPr>
                      <w:sz w:val="21"/>
                      <w:szCs w:val="21"/>
                    </w:rPr>
                  </w:pPr>
                  <w:r w:rsidRPr="00AF223D">
                    <w:rPr>
                      <w:sz w:val="21"/>
                      <w:szCs w:val="21"/>
                    </w:rPr>
                    <w:t>143.74 ± 117.44</w:t>
                  </w:r>
                </w:p>
              </w:tc>
              <w:tc>
                <w:tcPr>
                  <w:tcW w:w="1412" w:type="dxa"/>
                </w:tcPr>
                <w:p w14:paraId="29B23CE2" w14:textId="77777777" w:rsidR="003B41E9" w:rsidRPr="00AF223D" w:rsidRDefault="00000000">
                  <w:pPr>
                    <w:jc w:val="center"/>
                    <w:rPr>
                      <w:sz w:val="21"/>
                      <w:szCs w:val="21"/>
                    </w:rPr>
                  </w:pPr>
                  <w:r w:rsidRPr="00AF223D">
                    <w:rPr>
                      <w:sz w:val="21"/>
                      <w:szCs w:val="21"/>
                    </w:rPr>
                    <w:t>116.50 ± 211.87</w:t>
                  </w:r>
                </w:p>
              </w:tc>
            </w:tr>
            <w:tr w:rsidR="00AF223D" w:rsidRPr="00AF223D" w14:paraId="23049BF3" w14:textId="77777777" w:rsidTr="00911843">
              <w:tc>
                <w:tcPr>
                  <w:tcW w:w="1359" w:type="dxa"/>
                </w:tcPr>
                <w:p w14:paraId="7DD07CEA" w14:textId="77777777" w:rsidR="003B41E9" w:rsidRPr="00AF223D" w:rsidRDefault="00000000">
                  <w:pPr>
                    <w:jc w:val="center"/>
                    <w:rPr>
                      <w:sz w:val="21"/>
                      <w:szCs w:val="21"/>
                    </w:rPr>
                  </w:pPr>
                  <w:r w:rsidRPr="00AF223D">
                    <w:rPr>
                      <w:sz w:val="21"/>
                      <w:szCs w:val="21"/>
                    </w:rPr>
                    <w:t>Ca (</w:t>
                  </w:r>
                  <w:proofErr w:type="spellStart"/>
                  <w:r w:rsidRPr="00AF223D">
                    <w:rPr>
                      <w:sz w:val="21"/>
                      <w:szCs w:val="21"/>
                    </w:rPr>
                    <w:t>cmol</w:t>
                  </w:r>
                  <w:proofErr w:type="spellEnd"/>
                  <w:r w:rsidRPr="00AF223D">
                    <w:rPr>
                      <w:sz w:val="21"/>
                      <w:szCs w:val="21"/>
                    </w:rPr>
                    <w:t xml:space="preserve"> kg </w:t>
                  </w:r>
                  <w:r w:rsidRPr="00AF223D">
                    <w:rPr>
                      <w:sz w:val="21"/>
                      <w:szCs w:val="21"/>
                      <w:vertAlign w:val="superscript"/>
                    </w:rPr>
                    <w:t>-1</w:t>
                  </w:r>
                  <w:r w:rsidRPr="00AF223D">
                    <w:rPr>
                      <w:sz w:val="21"/>
                      <w:szCs w:val="21"/>
                    </w:rPr>
                    <w:t>)</w:t>
                  </w:r>
                </w:p>
              </w:tc>
              <w:tc>
                <w:tcPr>
                  <w:tcW w:w="1358" w:type="dxa"/>
                </w:tcPr>
                <w:p w14:paraId="425526BA" w14:textId="77777777" w:rsidR="003B41E9" w:rsidRPr="00AF223D" w:rsidRDefault="00000000">
                  <w:pPr>
                    <w:jc w:val="center"/>
                    <w:rPr>
                      <w:sz w:val="21"/>
                      <w:szCs w:val="21"/>
                    </w:rPr>
                  </w:pPr>
                  <w:r w:rsidRPr="00AF223D">
                    <w:rPr>
                      <w:sz w:val="21"/>
                      <w:szCs w:val="21"/>
                    </w:rPr>
                    <w:t>0.23</w:t>
                  </w:r>
                </w:p>
              </w:tc>
              <w:tc>
                <w:tcPr>
                  <w:tcW w:w="1358" w:type="dxa"/>
                </w:tcPr>
                <w:p w14:paraId="57BB8203" w14:textId="77777777" w:rsidR="003B41E9" w:rsidRPr="00AF223D" w:rsidRDefault="00000000">
                  <w:pPr>
                    <w:jc w:val="center"/>
                    <w:rPr>
                      <w:sz w:val="21"/>
                      <w:szCs w:val="21"/>
                    </w:rPr>
                  </w:pPr>
                  <w:r w:rsidRPr="00AF223D">
                    <w:rPr>
                      <w:sz w:val="21"/>
                      <w:szCs w:val="21"/>
                    </w:rPr>
                    <w:t>13.95 ± 6.54</w:t>
                  </w:r>
                </w:p>
              </w:tc>
              <w:tc>
                <w:tcPr>
                  <w:tcW w:w="1358" w:type="dxa"/>
                </w:tcPr>
                <w:p w14:paraId="4F77A221" w14:textId="77777777" w:rsidR="003B41E9" w:rsidRPr="00AF223D" w:rsidRDefault="00000000">
                  <w:pPr>
                    <w:jc w:val="center"/>
                    <w:rPr>
                      <w:sz w:val="21"/>
                      <w:szCs w:val="21"/>
                    </w:rPr>
                  </w:pPr>
                  <w:r w:rsidRPr="00AF223D">
                    <w:rPr>
                      <w:sz w:val="21"/>
                      <w:szCs w:val="21"/>
                    </w:rPr>
                    <w:t>12.84 ± 4.89</w:t>
                  </w:r>
                </w:p>
              </w:tc>
              <w:tc>
                <w:tcPr>
                  <w:tcW w:w="1358" w:type="dxa"/>
                </w:tcPr>
                <w:p w14:paraId="3B939B30" w14:textId="77777777" w:rsidR="003B41E9" w:rsidRPr="00AF223D" w:rsidRDefault="00000000">
                  <w:pPr>
                    <w:jc w:val="center"/>
                    <w:rPr>
                      <w:sz w:val="21"/>
                      <w:szCs w:val="21"/>
                    </w:rPr>
                  </w:pPr>
                  <w:r w:rsidRPr="00AF223D">
                    <w:rPr>
                      <w:sz w:val="21"/>
                      <w:szCs w:val="21"/>
                    </w:rPr>
                    <w:t>12.07 ± 4.92</w:t>
                  </w:r>
                </w:p>
              </w:tc>
              <w:tc>
                <w:tcPr>
                  <w:tcW w:w="1358" w:type="dxa"/>
                </w:tcPr>
                <w:p w14:paraId="28B55A0E" w14:textId="77777777" w:rsidR="003B41E9" w:rsidRPr="00AF223D" w:rsidRDefault="00000000">
                  <w:pPr>
                    <w:jc w:val="center"/>
                    <w:rPr>
                      <w:sz w:val="21"/>
                      <w:szCs w:val="21"/>
                    </w:rPr>
                  </w:pPr>
                  <w:r w:rsidRPr="00AF223D">
                    <w:rPr>
                      <w:sz w:val="21"/>
                      <w:szCs w:val="21"/>
                    </w:rPr>
                    <w:t>13.49 ± 6.89</w:t>
                  </w:r>
                </w:p>
              </w:tc>
              <w:tc>
                <w:tcPr>
                  <w:tcW w:w="1412" w:type="dxa"/>
                </w:tcPr>
                <w:p w14:paraId="504C87DA" w14:textId="77777777" w:rsidR="003B41E9" w:rsidRPr="00AF223D" w:rsidRDefault="00000000">
                  <w:pPr>
                    <w:jc w:val="center"/>
                    <w:rPr>
                      <w:sz w:val="21"/>
                      <w:szCs w:val="21"/>
                    </w:rPr>
                  </w:pPr>
                  <w:r w:rsidRPr="00AF223D">
                    <w:rPr>
                      <w:sz w:val="21"/>
                      <w:szCs w:val="21"/>
                    </w:rPr>
                    <w:t>8.93 ± 3.44</w:t>
                  </w:r>
                </w:p>
              </w:tc>
            </w:tr>
            <w:tr w:rsidR="00AF223D" w:rsidRPr="00AF223D" w14:paraId="0C26F260" w14:textId="77777777" w:rsidTr="00911843">
              <w:tc>
                <w:tcPr>
                  <w:tcW w:w="1359" w:type="dxa"/>
                </w:tcPr>
                <w:p w14:paraId="02DF8662" w14:textId="77777777" w:rsidR="003B41E9" w:rsidRPr="00AF223D" w:rsidRDefault="00000000">
                  <w:pPr>
                    <w:jc w:val="center"/>
                    <w:rPr>
                      <w:sz w:val="21"/>
                      <w:szCs w:val="21"/>
                    </w:rPr>
                  </w:pPr>
                  <w:r w:rsidRPr="00AF223D">
                    <w:rPr>
                      <w:sz w:val="21"/>
                      <w:szCs w:val="21"/>
                    </w:rPr>
                    <w:t>Mg (</w:t>
                  </w:r>
                  <w:proofErr w:type="spellStart"/>
                  <w:r w:rsidRPr="00AF223D">
                    <w:rPr>
                      <w:sz w:val="21"/>
                      <w:szCs w:val="21"/>
                    </w:rPr>
                    <w:t>cmol</w:t>
                  </w:r>
                  <w:proofErr w:type="spellEnd"/>
                  <w:r w:rsidRPr="00AF223D">
                    <w:rPr>
                      <w:sz w:val="21"/>
                      <w:szCs w:val="21"/>
                    </w:rPr>
                    <w:t xml:space="preserve"> kg </w:t>
                  </w:r>
                  <w:r w:rsidRPr="00AF223D">
                    <w:rPr>
                      <w:sz w:val="21"/>
                      <w:szCs w:val="21"/>
                      <w:vertAlign w:val="superscript"/>
                    </w:rPr>
                    <w:t>-1</w:t>
                  </w:r>
                  <w:r w:rsidRPr="00AF223D">
                    <w:rPr>
                      <w:sz w:val="21"/>
                      <w:szCs w:val="21"/>
                    </w:rPr>
                    <w:t>)</w:t>
                  </w:r>
                </w:p>
              </w:tc>
              <w:tc>
                <w:tcPr>
                  <w:tcW w:w="1358" w:type="dxa"/>
                </w:tcPr>
                <w:p w14:paraId="54330D8E" w14:textId="77777777" w:rsidR="003B41E9" w:rsidRPr="00AF223D" w:rsidRDefault="00000000">
                  <w:pPr>
                    <w:jc w:val="center"/>
                    <w:rPr>
                      <w:sz w:val="21"/>
                      <w:szCs w:val="21"/>
                    </w:rPr>
                  </w:pPr>
                  <w:r w:rsidRPr="00AF223D">
                    <w:rPr>
                      <w:sz w:val="21"/>
                      <w:szCs w:val="21"/>
                    </w:rPr>
                    <w:t>0.15</w:t>
                  </w:r>
                </w:p>
              </w:tc>
              <w:tc>
                <w:tcPr>
                  <w:tcW w:w="1358" w:type="dxa"/>
                </w:tcPr>
                <w:p w14:paraId="459BE405" w14:textId="77777777" w:rsidR="003B41E9" w:rsidRPr="00AF223D" w:rsidRDefault="00000000">
                  <w:pPr>
                    <w:jc w:val="center"/>
                    <w:rPr>
                      <w:sz w:val="21"/>
                      <w:szCs w:val="21"/>
                    </w:rPr>
                  </w:pPr>
                  <w:r w:rsidRPr="00AF223D">
                    <w:rPr>
                      <w:sz w:val="21"/>
                      <w:szCs w:val="21"/>
                    </w:rPr>
                    <w:t>3.73 ± 1.48</w:t>
                  </w:r>
                </w:p>
              </w:tc>
              <w:tc>
                <w:tcPr>
                  <w:tcW w:w="1358" w:type="dxa"/>
                </w:tcPr>
                <w:p w14:paraId="08875FB9" w14:textId="77777777" w:rsidR="003B41E9" w:rsidRPr="00AF223D" w:rsidRDefault="00000000">
                  <w:pPr>
                    <w:jc w:val="center"/>
                    <w:rPr>
                      <w:sz w:val="21"/>
                      <w:szCs w:val="21"/>
                    </w:rPr>
                  </w:pPr>
                  <w:r w:rsidRPr="00AF223D">
                    <w:rPr>
                      <w:sz w:val="21"/>
                      <w:szCs w:val="21"/>
                    </w:rPr>
                    <w:t>3.78 ± 1.53</w:t>
                  </w:r>
                </w:p>
              </w:tc>
              <w:tc>
                <w:tcPr>
                  <w:tcW w:w="1358" w:type="dxa"/>
                </w:tcPr>
                <w:p w14:paraId="4C6FEFC2" w14:textId="77777777" w:rsidR="003B41E9" w:rsidRPr="00AF223D" w:rsidRDefault="00000000">
                  <w:pPr>
                    <w:jc w:val="center"/>
                    <w:rPr>
                      <w:sz w:val="21"/>
                      <w:szCs w:val="21"/>
                    </w:rPr>
                  </w:pPr>
                  <w:r w:rsidRPr="00AF223D">
                    <w:rPr>
                      <w:sz w:val="21"/>
                      <w:szCs w:val="21"/>
                    </w:rPr>
                    <w:t>3.65 ± 1.42</w:t>
                  </w:r>
                </w:p>
              </w:tc>
              <w:tc>
                <w:tcPr>
                  <w:tcW w:w="1358" w:type="dxa"/>
                </w:tcPr>
                <w:p w14:paraId="7D4DBE1D" w14:textId="77777777" w:rsidR="003B41E9" w:rsidRPr="00AF223D" w:rsidRDefault="00000000">
                  <w:pPr>
                    <w:jc w:val="center"/>
                    <w:rPr>
                      <w:sz w:val="21"/>
                      <w:szCs w:val="21"/>
                    </w:rPr>
                  </w:pPr>
                  <w:r w:rsidRPr="00AF223D">
                    <w:rPr>
                      <w:sz w:val="21"/>
                      <w:szCs w:val="21"/>
                    </w:rPr>
                    <w:t>3.92 ± 1.67</w:t>
                  </w:r>
                </w:p>
              </w:tc>
              <w:tc>
                <w:tcPr>
                  <w:tcW w:w="1412" w:type="dxa"/>
                </w:tcPr>
                <w:p w14:paraId="2A835A2B" w14:textId="77777777" w:rsidR="003B41E9" w:rsidRPr="00AF223D" w:rsidRDefault="00000000">
                  <w:pPr>
                    <w:jc w:val="center"/>
                    <w:rPr>
                      <w:sz w:val="21"/>
                      <w:szCs w:val="21"/>
                    </w:rPr>
                  </w:pPr>
                  <w:r w:rsidRPr="00AF223D">
                    <w:rPr>
                      <w:sz w:val="21"/>
                      <w:szCs w:val="21"/>
                    </w:rPr>
                    <w:t>2.58 ± 0.92</w:t>
                  </w:r>
                </w:p>
              </w:tc>
            </w:tr>
            <w:tr w:rsidR="00AF223D" w:rsidRPr="00AF223D" w14:paraId="4ABCE18E" w14:textId="77777777" w:rsidTr="00911843">
              <w:tc>
                <w:tcPr>
                  <w:tcW w:w="1359" w:type="dxa"/>
                </w:tcPr>
                <w:p w14:paraId="4D2CFCAE" w14:textId="77777777" w:rsidR="003B41E9" w:rsidRPr="00AF223D" w:rsidRDefault="00000000">
                  <w:pPr>
                    <w:jc w:val="center"/>
                    <w:rPr>
                      <w:sz w:val="21"/>
                      <w:szCs w:val="21"/>
                    </w:rPr>
                  </w:pPr>
                  <w:r w:rsidRPr="00AF223D">
                    <w:rPr>
                      <w:sz w:val="21"/>
                      <w:szCs w:val="21"/>
                    </w:rPr>
                    <w:t>Na (</w:t>
                  </w:r>
                  <w:proofErr w:type="spellStart"/>
                  <w:r w:rsidRPr="00AF223D">
                    <w:rPr>
                      <w:sz w:val="21"/>
                      <w:szCs w:val="21"/>
                    </w:rPr>
                    <w:t>cmol</w:t>
                  </w:r>
                  <w:proofErr w:type="spellEnd"/>
                  <w:r w:rsidRPr="00AF223D">
                    <w:rPr>
                      <w:sz w:val="21"/>
                      <w:szCs w:val="21"/>
                    </w:rPr>
                    <w:t xml:space="preserve"> kg </w:t>
                  </w:r>
                  <w:r w:rsidRPr="00AF223D">
                    <w:rPr>
                      <w:sz w:val="21"/>
                      <w:szCs w:val="21"/>
                      <w:vertAlign w:val="superscript"/>
                    </w:rPr>
                    <w:t>-1</w:t>
                  </w:r>
                  <w:r w:rsidRPr="00AF223D">
                    <w:rPr>
                      <w:sz w:val="21"/>
                      <w:szCs w:val="21"/>
                    </w:rPr>
                    <w:t>)</w:t>
                  </w:r>
                </w:p>
              </w:tc>
              <w:tc>
                <w:tcPr>
                  <w:tcW w:w="1358" w:type="dxa"/>
                </w:tcPr>
                <w:p w14:paraId="51E674B4" w14:textId="77777777" w:rsidR="003B41E9" w:rsidRPr="00AF223D" w:rsidRDefault="00000000">
                  <w:pPr>
                    <w:jc w:val="center"/>
                    <w:rPr>
                      <w:sz w:val="21"/>
                      <w:szCs w:val="21"/>
                    </w:rPr>
                  </w:pPr>
                  <w:r w:rsidRPr="00AF223D">
                    <w:rPr>
                      <w:sz w:val="21"/>
                      <w:szCs w:val="21"/>
                    </w:rPr>
                    <w:t>-0.53</w:t>
                  </w:r>
                </w:p>
              </w:tc>
              <w:tc>
                <w:tcPr>
                  <w:tcW w:w="1358" w:type="dxa"/>
                </w:tcPr>
                <w:p w14:paraId="111800E6" w14:textId="77777777" w:rsidR="003B41E9" w:rsidRPr="00AF223D" w:rsidRDefault="00000000">
                  <w:pPr>
                    <w:jc w:val="center"/>
                    <w:rPr>
                      <w:sz w:val="21"/>
                      <w:szCs w:val="21"/>
                    </w:rPr>
                  </w:pPr>
                  <w:r w:rsidRPr="00AF223D">
                    <w:rPr>
                      <w:sz w:val="21"/>
                      <w:szCs w:val="21"/>
                    </w:rPr>
                    <w:t>0.31 ± 0.27</w:t>
                  </w:r>
                </w:p>
              </w:tc>
              <w:tc>
                <w:tcPr>
                  <w:tcW w:w="1358" w:type="dxa"/>
                </w:tcPr>
                <w:p w14:paraId="60E7336C" w14:textId="77777777" w:rsidR="003B41E9" w:rsidRPr="00AF223D" w:rsidRDefault="00000000">
                  <w:pPr>
                    <w:jc w:val="center"/>
                    <w:rPr>
                      <w:sz w:val="21"/>
                      <w:szCs w:val="21"/>
                    </w:rPr>
                  </w:pPr>
                  <w:r w:rsidRPr="00AF223D">
                    <w:rPr>
                      <w:sz w:val="21"/>
                      <w:szCs w:val="21"/>
                    </w:rPr>
                    <w:t>0.61 ± 0.61</w:t>
                  </w:r>
                </w:p>
              </w:tc>
              <w:tc>
                <w:tcPr>
                  <w:tcW w:w="1358" w:type="dxa"/>
                </w:tcPr>
                <w:p w14:paraId="20AC9519" w14:textId="77777777" w:rsidR="003B41E9" w:rsidRPr="00AF223D" w:rsidRDefault="00000000">
                  <w:pPr>
                    <w:jc w:val="center"/>
                    <w:rPr>
                      <w:sz w:val="21"/>
                      <w:szCs w:val="21"/>
                    </w:rPr>
                  </w:pPr>
                  <w:r w:rsidRPr="00AF223D">
                    <w:rPr>
                      <w:sz w:val="21"/>
                      <w:szCs w:val="21"/>
                    </w:rPr>
                    <w:t>1.13 ± 1.00</w:t>
                  </w:r>
                </w:p>
              </w:tc>
              <w:tc>
                <w:tcPr>
                  <w:tcW w:w="1358" w:type="dxa"/>
                </w:tcPr>
                <w:p w14:paraId="17E091EA" w14:textId="77777777" w:rsidR="003B41E9" w:rsidRPr="00AF223D" w:rsidRDefault="00000000">
                  <w:pPr>
                    <w:jc w:val="center"/>
                    <w:rPr>
                      <w:sz w:val="21"/>
                      <w:szCs w:val="21"/>
                    </w:rPr>
                  </w:pPr>
                  <w:r w:rsidRPr="00AF223D">
                    <w:rPr>
                      <w:sz w:val="21"/>
                      <w:szCs w:val="21"/>
                    </w:rPr>
                    <w:t>1.55 ± 2.24</w:t>
                  </w:r>
                </w:p>
              </w:tc>
              <w:tc>
                <w:tcPr>
                  <w:tcW w:w="1412" w:type="dxa"/>
                </w:tcPr>
                <w:p w14:paraId="1D4A6978" w14:textId="77777777" w:rsidR="003B41E9" w:rsidRPr="00AF223D" w:rsidRDefault="00000000">
                  <w:pPr>
                    <w:jc w:val="center"/>
                    <w:rPr>
                      <w:sz w:val="21"/>
                      <w:szCs w:val="21"/>
                    </w:rPr>
                  </w:pPr>
                  <w:r w:rsidRPr="00AF223D">
                    <w:rPr>
                      <w:sz w:val="21"/>
                      <w:szCs w:val="21"/>
                    </w:rPr>
                    <w:t>1.71 ± 1.42</w:t>
                  </w:r>
                </w:p>
              </w:tc>
            </w:tr>
            <w:tr w:rsidR="00AF223D" w:rsidRPr="00AF223D" w14:paraId="4EC15FBA" w14:textId="77777777" w:rsidTr="00911843">
              <w:tc>
                <w:tcPr>
                  <w:tcW w:w="1359" w:type="dxa"/>
                </w:tcPr>
                <w:p w14:paraId="4B25F0EF" w14:textId="77777777" w:rsidR="003B41E9" w:rsidRPr="00AF223D" w:rsidRDefault="00000000">
                  <w:pPr>
                    <w:jc w:val="center"/>
                    <w:rPr>
                      <w:sz w:val="21"/>
                      <w:szCs w:val="21"/>
                    </w:rPr>
                  </w:pPr>
                  <w:r w:rsidRPr="00AF223D">
                    <w:rPr>
                      <w:sz w:val="21"/>
                      <w:szCs w:val="21"/>
                    </w:rPr>
                    <w:t>ECEC (</w:t>
                  </w:r>
                  <w:proofErr w:type="spellStart"/>
                  <w:r w:rsidRPr="00AF223D">
                    <w:rPr>
                      <w:sz w:val="21"/>
                      <w:szCs w:val="21"/>
                    </w:rPr>
                    <w:t>cmol</w:t>
                  </w:r>
                  <w:proofErr w:type="spellEnd"/>
                  <w:r w:rsidRPr="00AF223D">
                    <w:rPr>
                      <w:sz w:val="21"/>
                      <w:szCs w:val="21"/>
                    </w:rPr>
                    <w:t xml:space="preserve"> kg </w:t>
                  </w:r>
                  <w:r w:rsidRPr="00AF223D">
                    <w:rPr>
                      <w:sz w:val="21"/>
                      <w:szCs w:val="21"/>
                      <w:vertAlign w:val="superscript"/>
                    </w:rPr>
                    <w:t>-1</w:t>
                  </w:r>
                  <w:r w:rsidRPr="00AF223D">
                    <w:rPr>
                      <w:sz w:val="21"/>
                      <w:szCs w:val="21"/>
                    </w:rPr>
                    <w:t>)</w:t>
                  </w:r>
                </w:p>
              </w:tc>
              <w:tc>
                <w:tcPr>
                  <w:tcW w:w="1358" w:type="dxa"/>
                </w:tcPr>
                <w:p w14:paraId="0998CD54" w14:textId="77777777" w:rsidR="003B41E9" w:rsidRPr="00AF223D" w:rsidRDefault="00000000">
                  <w:pPr>
                    <w:jc w:val="center"/>
                    <w:rPr>
                      <w:sz w:val="21"/>
                      <w:szCs w:val="21"/>
                    </w:rPr>
                  </w:pPr>
                  <w:r w:rsidRPr="00AF223D">
                    <w:rPr>
                      <w:sz w:val="21"/>
                      <w:szCs w:val="21"/>
                    </w:rPr>
                    <w:t>0.13</w:t>
                  </w:r>
                </w:p>
              </w:tc>
              <w:tc>
                <w:tcPr>
                  <w:tcW w:w="1358" w:type="dxa"/>
                </w:tcPr>
                <w:p w14:paraId="4609D473" w14:textId="77777777" w:rsidR="003B41E9" w:rsidRPr="00AF223D" w:rsidRDefault="00000000">
                  <w:pPr>
                    <w:jc w:val="center"/>
                    <w:rPr>
                      <w:sz w:val="21"/>
                      <w:szCs w:val="21"/>
                    </w:rPr>
                  </w:pPr>
                  <w:r w:rsidRPr="00AF223D">
                    <w:rPr>
                      <w:sz w:val="21"/>
                      <w:szCs w:val="21"/>
                    </w:rPr>
                    <w:t>19.69 ± 7.80</w:t>
                  </w:r>
                </w:p>
              </w:tc>
              <w:tc>
                <w:tcPr>
                  <w:tcW w:w="1358" w:type="dxa"/>
                </w:tcPr>
                <w:p w14:paraId="02281DD1" w14:textId="77777777" w:rsidR="003B41E9" w:rsidRPr="00AF223D" w:rsidRDefault="00000000">
                  <w:pPr>
                    <w:jc w:val="center"/>
                    <w:rPr>
                      <w:sz w:val="21"/>
                      <w:szCs w:val="21"/>
                    </w:rPr>
                  </w:pPr>
                  <w:r w:rsidRPr="00AF223D">
                    <w:rPr>
                      <w:sz w:val="21"/>
                      <w:szCs w:val="21"/>
                    </w:rPr>
                    <w:t>18.99 ± 6.28</w:t>
                  </w:r>
                </w:p>
              </w:tc>
              <w:tc>
                <w:tcPr>
                  <w:tcW w:w="1358" w:type="dxa"/>
                </w:tcPr>
                <w:p w14:paraId="580C8CD4" w14:textId="77777777" w:rsidR="003B41E9" w:rsidRPr="00AF223D" w:rsidRDefault="00000000">
                  <w:pPr>
                    <w:jc w:val="center"/>
                    <w:rPr>
                      <w:sz w:val="21"/>
                      <w:szCs w:val="21"/>
                    </w:rPr>
                  </w:pPr>
                  <w:r w:rsidRPr="00AF223D">
                    <w:rPr>
                      <w:sz w:val="21"/>
                      <w:szCs w:val="21"/>
                    </w:rPr>
                    <w:t>18.56 ± 6.39</w:t>
                  </w:r>
                </w:p>
              </w:tc>
              <w:tc>
                <w:tcPr>
                  <w:tcW w:w="1358" w:type="dxa"/>
                </w:tcPr>
                <w:p w14:paraId="748379CE" w14:textId="77777777" w:rsidR="003B41E9" w:rsidRPr="00AF223D" w:rsidRDefault="00000000">
                  <w:pPr>
                    <w:jc w:val="center"/>
                    <w:rPr>
                      <w:sz w:val="21"/>
                      <w:szCs w:val="21"/>
                    </w:rPr>
                  </w:pPr>
                  <w:r w:rsidRPr="00AF223D">
                    <w:rPr>
                      <w:sz w:val="21"/>
                      <w:szCs w:val="21"/>
                    </w:rPr>
                    <w:t>20.81 ± 9.10</w:t>
                  </w:r>
                </w:p>
              </w:tc>
              <w:tc>
                <w:tcPr>
                  <w:tcW w:w="1412" w:type="dxa"/>
                </w:tcPr>
                <w:p w14:paraId="72E4CE0B" w14:textId="77777777" w:rsidR="003B41E9" w:rsidRPr="00AF223D" w:rsidRDefault="00000000">
                  <w:pPr>
                    <w:jc w:val="center"/>
                    <w:rPr>
                      <w:sz w:val="21"/>
                      <w:szCs w:val="21"/>
                    </w:rPr>
                  </w:pPr>
                  <w:r w:rsidRPr="00AF223D">
                    <w:rPr>
                      <w:sz w:val="21"/>
                      <w:szCs w:val="21"/>
                    </w:rPr>
                    <w:t>14.94 ± 4.46</w:t>
                  </w:r>
                </w:p>
              </w:tc>
            </w:tr>
            <w:tr w:rsidR="00AF223D" w:rsidRPr="00AF223D" w14:paraId="49D7D76E" w14:textId="77777777" w:rsidTr="00911843">
              <w:tc>
                <w:tcPr>
                  <w:tcW w:w="1359" w:type="dxa"/>
                </w:tcPr>
                <w:p w14:paraId="6B82336A" w14:textId="77777777" w:rsidR="003B41E9" w:rsidRPr="00AF223D" w:rsidRDefault="00000000">
                  <w:pPr>
                    <w:jc w:val="center"/>
                    <w:rPr>
                      <w:sz w:val="21"/>
                      <w:szCs w:val="21"/>
                    </w:rPr>
                  </w:pPr>
                  <w:r w:rsidRPr="00AF223D">
                    <w:rPr>
                      <w:sz w:val="21"/>
                      <w:szCs w:val="21"/>
                    </w:rPr>
                    <w:t>BD (g cm </w:t>
                  </w:r>
                  <w:r w:rsidRPr="00AF223D">
                    <w:rPr>
                      <w:sz w:val="21"/>
                      <w:szCs w:val="21"/>
                      <w:vertAlign w:val="superscript"/>
                    </w:rPr>
                    <w:t>-3</w:t>
                  </w:r>
                  <w:r w:rsidRPr="00AF223D">
                    <w:rPr>
                      <w:sz w:val="21"/>
                      <w:szCs w:val="21"/>
                    </w:rPr>
                    <w:t>)</w:t>
                  </w:r>
                </w:p>
              </w:tc>
              <w:tc>
                <w:tcPr>
                  <w:tcW w:w="1358" w:type="dxa"/>
                </w:tcPr>
                <w:p w14:paraId="7CFB6955" w14:textId="77777777" w:rsidR="003B41E9" w:rsidRPr="00AF223D" w:rsidRDefault="00000000">
                  <w:pPr>
                    <w:jc w:val="center"/>
                    <w:rPr>
                      <w:sz w:val="21"/>
                      <w:szCs w:val="21"/>
                    </w:rPr>
                  </w:pPr>
                  <w:r w:rsidRPr="00AF223D">
                    <w:rPr>
                      <w:sz w:val="21"/>
                      <w:szCs w:val="21"/>
                    </w:rPr>
                    <w:t>-0.37</w:t>
                  </w:r>
                </w:p>
              </w:tc>
              <w:tc>
                <w:tcPr>
                  <w:tcW w:w="1358" w:type="dxa"/>
                </w:tcPr>
                <w:p w14:paraId="5404DD96" w14:textId="77777777" w:rsidR="003B41E9" w:rsidRPr="00AF223D" w:rsidRDefault="00000000">
                  <w:pPr>
                    <w:jc w:val="center"/>
                    <w:rPr>
                      <w:sz w:val="21"/>
                      <w:szCs w:val="21"/>
                    </w:rPr>
                  </w:pPr>
                  <w:r w:rsidRPr="00AF223D">
                    <w:rPr>
                      <w:sz w:val="21"/>
                      <w:szCs w:val="21"/>
                    </w:rPr>
                    <w:t>1.49 ± 0.04</w:t>
                  </w:r>
                </w:p>
              </w:tc>
              <w:tc>
                <w:tcPr>
                  <w:tcW w:w="1358" w:type="dxa"/>
                </w:tcPr>
                <w:p w14:paraId="59B59922" w14:textId="77777777" w:rsidR="003B41E9" w:rsidRPr="00AF223D" w:rsidRDefault="00000000">
                  <w:pPr>
                    <w:jc w:val="center"/>
                    <w:rPr>
                      <w:sz w:val="21"/>
                      <w:szCs w:val="21"/>
                    </w:rPr>
                  </w:pPr>
                  <w:r w:rsidRPr="00AF223D">
                    <w:rPr>
                      <w:sz w:val="21"/>
                      <w:szCs w:val="21"/>
                    </w:rPr>
                    <w:t>1.48 ± 0.05</w:t>
                  </w:r>
                </w:p>
              </w:tc>
              <w:tc>
                <w:tcPr>
                  <w:tcW w:w="1358" w:type="dxa"/>
                </w:tcPr>
                <w:p w14:paraId="26C09ECB" w14:textId="77777777" w:rsidR="003B41E9" w:rsidRPr="00AF223D" w:rsidRDefault="00000000">
                  <w:pPr>
                    <w:jc w:val="center"/>
                    <w:rPr>
                      <w:sz w:val="21"/>
                      <w:szCs w:val="21"/>
                    </w:rPr>
                  </w:pPr>
                  <w:r w:rsidRPr="00AF223D">
                    <w:rPr>
                      <w:sz w:val="21"/>
                      <w:szCs w:val="21"/>
                    </w:rPr>
                    <w:t>1.49 ± 0.05</w:t>
                  </w:r>
                </w:p>
              </w:tc>
              <w:tc>
                <w:tcPr>
                  <w:tcW w:w="1358" w:type="dxa"/>
                </w:tcPr>
                <w:p w14:paraId="4698ABBC" w14:textId="77777777" w:rsidR="003B41E9" w:rsidRPr="00AF223D" w:rsidRDefault="00000000">
                  <w:pPr>
                    <w:jc w:val="center"/>
                    <w:rPr>
                      <w:sz w:val="21"/>
                      <w:szCs w:val="21"/>
                    </w:rPr>
                  </w:pPr>
                  <w:r w:rsidRPr="00AF223D">
                    <w:rPr>
                      <w:sz w:val="21"/>
                      <w:szCs w:val="21"/>
                    </w:rPr>
                    <w:t>1.51 ± 0.05</w:t>
                  </w:r>
                </w:p>
              </w:tc>
              <w:tc>
                <w:tcPr>
                  <w:tcW w:w="1412" w:type="dxa"/>
                </w:tcPr>
                <w:p w14:paraId="6A012AE7" w14:textId="77777777" w:rsidR="003B41E9" w:rsidRPr="00AF223D" w:rsidRDefault="00000000">
                  <w:pPr>
                    <w:jc w:val="center"/>
                    <w:rPr>
                      <w:sz w:val="21"/>
                      <w:szCs w:val="21"/>
                    </w:rPr>
                  </w:pPr>
                  <w:r w:rsidRPr="00AF223D">
                    <w:rPr>
                      <w:sz w:val="21"/>
                      <w:szCs w:val="21"/>
                    </w:rPr>
                    <w:t>1.56 ± 0.06</w:t>
                  </w:r>
                </w:p>
              </w:tc>
            </w:tr>
            <w:bookmarkEnd w:id="27"/>
          </w:tbl>
          <w:p w14:paraId="787065EF" w14:textId="77777777" w:rsidR="003B41E9" w:rsidRPr="00AF223D" w:rsidRDefault="003B41E9">
            <w:pPr>
              <w:rPr>
                <w:sz w:val="22"/>
              </w:rPr>
            </w:pPr>
          </w:p>
        </w:tc>
      </w:tr>
    </w:tbl>
    <w:p w14:paraId="1D757CC3" w14:textId="77777777" w:rsidR="003B41E9" w:rsidRPr="00AF223D" w:rsidRDefault="00000000">
      <w:pPr>
        <w:pStyle w:val="Ttulo2"/>
        <w:rPr>
          <w:sz w:val="22"/>
          <w:szCs w:val="22"/>
        </w:rPr>
      </w:pPr>
      <w:bookmarkStart w:id="28" w:name="X6385a5b5b68293c29c86e5579de8cbb40979f69"/>
      <w:bookmarkEnd w:id="24"/>
      <w:r w:rsidRPr="00AF223D">
        <w:rPr>
          <w:sz w:val="22"/>
          <w:szCs w:val="22"/>
        </w:rPr>
        <w:lastRenderedPageBreak/>
        <w:t xml:space="preserve">Non-parametric comparison of the </w:t>
      </w:r>
      <w:proofErr w:type="spellStart"/>
      <w:r w:rsidRPr="00AF223D">
        <w:rPr>
          <w:sz w:val="22"/>
          <w:szCs w:val="22"/>
        </w:rPr>
        <w:t>SQIw</w:t>
      </w:r>
      <w:proofErr w:type="spellEnd"/>
      <w:r w:rsidRPr="00AF223D">
        <w:rPr>
          <w:sz w:val="22"/>
          <w:szCs w:val="22"/>
        </w:rPr>
        <w:t xml:space="preserve"> across different saline and sodic soil types and climate types</w:t>
      </w:r>
    </w:p>
    <w:p w14:paraId="3F400A13" w14:textId="330EBEAA" w:rsidR="003B41E9" w:rsidRPr="00AF223D" w:rsidRDefault="00000000">
      <w:pPr>
        <w:rPr>
          <w:sz w:val="22"/>
        </w:rPr>
      </w:pPr>
      <w:r w:rsidRPr="00AF223D">
        <w:rPr>
          <w:sz w:val="22"/>
        </w:rPr>
        <w:t xml:space="preserve">The </w:t>
      </w:r>
      <w:proofErr w:type="spellStart"/>
      <w:r w:rsidRPr="00AF223D">
        <w:rPr>
          <w:sz w:val="22"/>
        </w:rPr>
        <w:t>SQIw</w:t>
      </w:r>
      <w:proofErr w:type="spellEnd"/>
      <w:r w:rsidRPr="00AF223D">
        <w:rPr>
          <w:sz w:val="22"/>
        </w:rPr>
        <w:t xml:space="preserve"> exhibited systematic differences among saline and sodic soil types (</w:t>
      </w:r>
      <w:hyperlink r:id="rId20" w:anchor="bookmark=id.axo2g4578pjz">
        <w:r w:rsidR="003B41E9" w:rsidRPr="00AF223D">
          <w:rPr>
            <w:rStyle w:val="Hipervnculo"/>
            <w:color w:val="auto"/>
            <w:sz w:val="22"/>
          </w:rPr>
          <w:t>Figure 5</w:t>
        </w:r>
      </w:hyperlink>
      <w:r w:rsidRPr="00AF223D">
        <w:rPr>
          <w:sz w:val="22"/>
        </w:rPr>
        <w:t xml:space="preserve">a), supporting its utility as a multivariate indicator to identify gradients of chemical and physical degradation. Median comparisons revealed multiple statistically significant differences (adjusted p &lt; 0.0001) between categories. Alkaline saline–sodic soils (median = 0.34), neutral saline–sodic soils (0.42) and alkaline saline soils (0.46) showed significantly lower </w:t>
      </w:r>
      <w:proofErr w:type="spellStart"/>
      <w:r w:rsidRPr="00AF223D">
        <w:rPr>
          <w:sz w:val="22"/>
        </w:rPr>
        <w:t>SQIw</w:t>
      </w:r>
      <w:proofErr w:type="spellEnd"/>
      <w:r w:rsidRPr="00AF223D">
        <w:rPr>
          <w:sz w:val="22"/>
        </w:rPr>
        <w:t xml:space="preserve"> values compared with acidic saline soils (0.75), neutral saline soils (0.61) and non-salt-affected soils (0.60). These patterns indicate that not all salinity affects </w:t>
      </w:r>
      <w:proofErr w:type="spellStart"/>
      <w:r w:rsidRPr="00AF223D">
        <w:rPr>
          <w:sz w:val="22"/>
        </w:rPr>
        <w:t>SQIw</w:t>
      </w:r>
      <w:proofErr w:type="spellEnd"/>
      <w:r w:rsidRPr="00AF223D">
        <w:rPr>
          <w:sz w:val="22"/>
        </w:rPr>
        <w:t xml:space="preserve"> in the same way: soils dominated by alkaline </w:t>
      </w:r>
      <w:proofErr w:type="spellStart"/>
      <w:r w:rsidRPr="00AF223D">
        <w:rPr>
          <w:sz w:val="22"/>
        </w:rPr>
        <w:t>sodicity</w:t>
      </w:r>
      <w:proofErr w:type="spellEnd"/>
      <w:r w:rsidRPr="00AF223D">
        <w:rPr>
          <w:sz w:val="22"/>
        </w:rPr>
        <w:t xml:space="preserve"> tend to depress the index markedly, whereas certain slightly acidic and neutral saline soils retain properties that sustain a relatively high </w:t>
      </w:r>
      <w:proofErr w:type="spellStart"/>
      <w:r w:rsidRPr="00AF223D">
        <w:rPr>
          <w:sz w:val="22"/>
        </w:rPr>
        <w:t>SQIw</w:t>
      </w:r>
      <w:proofErr w:type="spellEnd"/>
      <w:r w:rsidRPr="00AF223D">
        <w:rPr>
          <w:sz w:val="22"/>
        </w:rPr>
        <w:t>.</w:t>
      </w:r>
    </w:p>
    <w:p w14:paraId="16CF4E73" w14:textId="74C192D4" w:rsidR="003B41E9" w:rsidRPr="00AF223D" w:rsidRDefault="00000000">
      <w:pPr>
        <w:rPr>
          <w:sz w:val="22"/>
        </w:rPr>
      </w:pPr>
      <w:r w:rsidRPr="00AF223D">
        <w:rPr>
          <w:sz w:val="22"/>
        </w:rPr>
        <w:t xml:space="preserve">The non-parametric analysis of </w:t>
      </w:r>
      <w:proofErr w:type="spellStart"/>
      <w:r w:rsidRPr="00AF223D">
        <w:rPr>
          <w:sz w:val="22"/>
        </w:rPr>
        <w:t>SQIw</w:t>
      </w:r>
      <w:proofErr w:type="spellEnd"/>
      <w:r w:rsidRPr="00AF223D">
        <w:rPr>
          <w:sz w:val="22"/>
        </w:rPr>
        <w:t xml:space="preserve"> across SENAMHI climate types revealed significant differences (adjusted p &lt; 0.0001) among specific categories (</w:t>
      </w:r>
      <w:hyperlink r:id="rId21" w:anchor="bookmark=id.axo2g4578pjz">
        <w:r w:rsidR="003B41E9" w:rsidRPr="00AF223D">
          <w:rPr>
            <w:rStyle w:val="Hipervnculo"/>
            <w:color w:val="auto"/>
            <w:sz w:val="22"/>
          </w:rPr>
          <w:t>Figure 5</w:t>
        </w:r>
      </w:hyperlink>
      <w:r w:rsidRPr="00AF223D">
        <w:rPr>
          <w:sz w:val="22"/>
        </w:rPr>
        <w:t>b), thereby confirming the index’s sensitivity to the dominant climatic gradients within the study area. In particular, climates classified as D(</w:t>
      </w:r>
      <w:proofErr w:type="spellStart"/>
      <w:proofErr w:type="gramStart"/>
      <w:r w:rsidRPr="00AF223D">
        <w:rPr>
          <w:sz w:val="22"/>
        </w:rPr>
        <w:t>i,p</w:t>
      </w:r>
      <w:proofErr w:type="spellEnd"/>
      <w:proofErr w:type="gramEnd"/>
      <w:r w:rsidRPr="00AF223D">
        <w:rPr>
          <w:sz w:val="22"/>
        </w:rPr>
        <w:t xml:space="preserve">)A’ (warm semi-arid regimes with marked seasonal precipitation) exhibited significantly higher </w:t>
      </w:r>
      <w:proofErr w:type="spellStart"/>
      <w:r w:rsidRPr="00AF223D">
        <w:rPr>
          <w:sz w:val="22"/>
        </w:rPr>
        <w:t>SQIw</w:t>
      </w:r>
      <w:proofErr w:type="spellEnd"/>
      <w:r w:rsidRPr="00AF223D">
        <w:rPr>
          <w:sz w:val="22"/>
        </w:rPr>
        <w:t xml:space="preserve"> values (median = 0.54) than those classed as E(d)A’ (arid to </w:t>
      </w:r>
      <w:proofErr w:type="spellStart"/>
      <w:r w:rsidRPr="00AF223D">
        <w:rPr>
          <w:sz w:val="22"/>
        </w:rPr>
        <w:t>hyperarid</w:t>
      </w:r>
      <w:proofErr w:type="spellEnd"/>
      <w:r w:rsidRPr="00AF223D">
        <w:rPr>
          <w:sz w:val="22"/>
        </w:rPr>
        <w:t xml:space="preserve"> regimes with persistent annual moisture deficit; median = 0.46). No statistically significant differences were observed for the remaining pairwise climate comparisons, a result attributable in part to limited sample sizes for some classes.</w:t>
      </w:r>
    </w:p>
    <w:tbl>
      <w:tblPr>
        <w:tblStyle w:val="Table"/>
        <w:tblW w:w="5000" w:type="pct"/>
        <w:tblLayout w:type="fixed"/>
        <w:tblLook w:val="0000" w:firstRow="0" w:lastRow="0" w:firstColumn="0" w:lastColumn="0" w:noHBand="0" w:noVBand="0"/>
      </w:tblPr>
      <w:tblGrid>
        <w:gridCol w:w="9777"/>
      </w:tblGrid>
      <w:tr w:rsidR="00AF223D" w:rsidRPr="00AF223D" w14:paraId="6DFE0247" w14:textId="77777777">
        <w:tc>
          <w:tcPr>
            <w:tcW w:w="7920" w:type="dxa"/>
          </w:tcPr>
          <w:p w14:paraId="2A01598F" w14:textId="77777777" w:rsidR="003B41E9" w:rsidRPr="00AF223D" w:rsidRDefault="00000000">
            <w:pPr>
              <w:jc w:val="center"/>
              <w:rPr>
                <w:sz w:val="22"/>
              </w:rPr>
            </w:pPr>
            <w:bookmarkStart w:id="29" w:name="fig-id.axo2g4578pjz"/>
            <w:r w:rsidRPr="00AF223D">
              <w:rPr>
                <w:noProof/>
                <w:sz w:val="22"/>
              </w:rPr>
              <w:lastRenderedPageBreak/>
              <w:drawing>
                <wp:inline distT="0" distB="0" distL="0" distR="0" wp14:anchorId="3AAA6C07" wp14:editId="6EF6AA66">
                  <wp:extent cx="5836920" cy="752856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article/img_4.jpg"/>
                          <pic:cNvPicPr>
                            <a:picLocks noChangeAspect="1" noChangeArrowheads="1"/>
                          </pic:cNvPicPr>
                        </pic:nvPicPr>
                        <pic:blipFill>
                          <a:blip r:embed="rId22"/>
                          <a:stretch>
                            <a:fillRect/>
                          </a:stretch>
                        </pic:blipFill>
                        <pic:spPr bwMode="auto">
                          <a:xfrm>
                            <a:off x="0" y="0"/>
                            <a:ext cx="5837409" cy="7529191"/>
                          </a:xfrm>
                          <a:prstGeom prst="rect">
                            <a:avLst/>
                          </a:prstGeom>
                          <a:noFill/>
                          <a:ln w="9525">
                            <a:noFill/>
                            <a:headEnd/>
                            <a:tailEnd/>
                          </a:ln>
                        </pic:spPr>
                      </pic:pic>
                    </a:graphicData>
                  </a:graphic>
                </wp:inline>
              </w:drawing>
            </w:r>
          </w:p>
          <w:p w14:paraId="10D59D3E" w14:textId="77777777" w:rsidR="003B41E9" w:rsidRPr="00AF223D" w:rsidRDefault="00000000">
            <w:pPr>
              <w:spacing w:before="200"/>
              <w:jc w:val="left"/>
              <w:rPr>
                <w:sz w:val="22"/>
              </w:rPr>
            </w:pPr>
            <w:r w:rsidRPr="00AF223D">
              <w:rPr>
                <w:sz w:val="22"/>
              </w:rPr>
              <w:t xml:space="preserve">Figure 5: </w:t>
            </w:r>
            <w:r w:rsidRPr="00AF223D">
              <w:rPr>
                <w:i/>
                <w:iCs/>
                <w:sz w:val="22"/>
              </w:rPr>
              <w:t xml:space="preserve">Comparison of </w:t>
            </w:r>
            <w:proofErr w:type="spellStart"/>
            <w:r w:rsidRPr="00AF223D">
              <w:rPr>
                <w:i/>
                <w:iCs/>
                <w:sz w:val="22"/>
              </w:rPr>
              <w:t>SQIw</w:t>
            </w:r>
            <w:proofErr w:type="spellEnd"/>
            <w:r w:rsidRPr="00AF223D">
              <w:rPr>
                <w:i/>
                <w:iCs/>
                <w:sz w:val="22"/>
              </w:rPr>
              <w:t xml:space="preserve"> across different saline and sodic soil types (a) and climate types (b) in the province of </w:t>
            </w:r>
            <w:proofErr w:type="spellStart"/>
            <w:r w:rsidRPr="00AF223D">
              <w:rPr>
                <w:i/>
                <w:iCs/>
                <w:sz w:val="22"/>
              </w:rPr>
              <w:t>Morropón</w:t>
            </w:r>
            <w:proofErr w:type="spellEnd"/>
            <w:r w:rsidRPr="00AF223D">
              <w:rPr>
                <w:i/>
                <w:iCs/>
                <w:sz w:val="22"/>
              </w:rPr>
              <w:t>, based on Dunn’s post hoc test applied after the Kruskal–</w:t>
            </w:r>
            <w:proofErr w:type="gramStart"/>
            <w:r w:rsidRPr="00AF223D">
              <w:rPr>
                <w:i/>
                <w:iCs/>
                <w:sz w:val="22"/>
              </w:rPr>
              <w:t>Wallis</w:t>
            </w:r>
            <w:proofErr w:type="gramEnd"/>
            <w:r w:rsidRPr="00AF223D">
              <w:rPr>
                <w:i/>
                <w:iCs/>
                <w:sz w:val="22"/>
              </w:rPr>
              <w:t xml:space="preserve"> test, with Bonferroni correction for multiple comparisons. Statistical significance indicates differences at adjusted p &lt; 0.0001.</w:t>
            </w:r>
          </w:p>
        </w:tc>
        <w:bookmarkEnd w:id="29"/>
      </w:tr>
    </w:tbl>
    <w:p w14:paraId="44AA44D2" w14:textId="77777777" w:rsidR="003B41E9" w:rsidRPr="00AF223D" w:rsidRDefault="00000000">
      <w:pPr>
        <w:pStyle w:val="Ttulo2"/>
        <w:rPr>
          <w:sz w:val="22"/>
          <w:szCs w:val="22"/>
        </w:rPr>
      </w:pPr>
      <w:bookmarkStart w:id="30" w:name="X5be8773c46bb7c7d26e7e07a4d6e81084138689"/>
      <w:bookmarkEnd w:id="28"/>
      <w:r w:rsidRPr="00AF223D">
        <w:rPr>
          <w:sz w:val="22"/>
          <w:szCs w:val="22"/>
        </w:rPr>
        <w:lastRenderedPageBreak/>
        <w:t xml:space="preserve">Predictive performance of machine learning and geostatistical models for </w:t>
      </w:r>
      <w:proofErr w:type="spellStart"/>
      <w:r w:rsidRPr="00AF223D">
        <w:rPr>
          <w:sz w:val="22"/>
          <w:szCs w:val="22"/>
        </w:rPr>
        <w:t>SQIw</w:t>
      </w:r>
      <w:proofErr w:type="spellEnd"/>
    </w:p>
    <w:p w14:paraId="531EFCD6" w14:textId="158C826A" w:rsidR="003B41E9" w:rsidRPr="00AF223D" w:rsidRDefault="00895706">
      <w:pPr>
        <w:rPr>
          <w:sz w:val="22"/>
        </w:rPr>
      </w:pPr>
      <w:r w:rsidRPr="00397B1C">
        <w:rPr>
          <w:color w:val="EE0000"/>
          <w:sz w:val="22"/>
        </w:rPr>
        <w:t>Nested cross-validation showed differences in predictive performance among the evaluated models</w:t>
      </w:r>
      <w:r w:rsidRPr="00895706" w:rsidDel="00895706">
        <w:rPr>
          <w:sz w:val="22"/>
        </w:rPr>
        <w:t xml:space="preserve"> </w:t>
      </w:r>
      <w:r w:rsidR="00000000" w:rsidRPr="00AF223D">
        <w:rPr>
          <w:sz w:val="22"/>
        </w:rPr>
        <w:t>(</w:t>
      </w:r>
      <w:hyperlink r:id="rId23" w:anchor="bookmark=id.6o7xwh9ggi4o">
        <w:r w:rsidR="003B41E9" w:rsidRPr="00AF223D">
          <w:rPr>
            <w:rStyle w:val="Hipervnculo"/>
            <w:color w:val="auto"/>
            <w:sz w:val="22"/>
          </w:rPr>
          <w:t>Table 4</w:t>
        </w:r>
      </w:hyperlink>
      <w:r w:rsidR="00000000" w:rsidRPr="00AF223D">
        <w:rPr>
          <w:sz w:val="22"/>
        </w:rPr>
        <w:t xml:space="preserve">). Model performance was evaluated using </w:t>
      </w:r>
      <w:r w:rsidR="00000000" w:rsidRPr="00397B1C">
        <w:rPr>
          <w:color w:val="EE0000"/>
          <w:sz w:val="22"/>
        </w:rPr>
        <w:t xml:space="preserve">RMSE, MAE, </w:t>
      </w:r>
      <w:r w:rsidR="00E704C5" w:rsidRPr="00397B1C">
        <w:rPr>
          <w:color w:val="EE0000"/>
          <w:sz w:val="22"/>
        </w:rPr>
        <w:t xml:space="preserve">R², </w:t>
      </w:r>
      <w:proofErr w:type="spellStart"/>
      <w:r w:rsidR="00E704C5" w:rsidRPr="00397B1C">
        <w:rPr>
          <w:color w:val="EE0000"/>
          <w:sz w:val="22"/>
        </w:rPr>
        <w:t>nRMSE</w:t>
      </w:r>
      <w:proofErr w:type="spellEnd"/>
      <w:r w:rsidR="00E704C5" w:rsidRPr="00397B1C">
        <w:rPr>
          <w:color w:val="EE0000"/>
          <w:sz w:val="22"/>
        </w:rPr>
        <w:t>, relative error (</w:t>
      </w:r>
      <w:proofErr w:type="spellStart"/>
      <w:r w:rsidR="00E704C5" w:rsidRPr="00397B1C">
        <w:rPr>
          <w:color w:val="EE0000"/>
          <w:sz w:val="22"/>
        </w:rPr>
        <w:t>RelError</w:t>
      </w:r>
      <w:proofErr w:type="spellEnd"/>
      <w:r w:rsidR="00E704C5" w:rsidRPr="00397B1C">
        <w:rPr>
          <w:color w:val="EE0000"/>
          <w:sz w:val="22"/>
        </w:rPr>
        <w:t xml:space="preserve">), </w:t>
      </w:r>
      <w:proofErr w:type="spellStart"/>
      <w:r w:rsidRPr="00397B1C">
        <w:rPr>
          <w:color w:val="EE0000"/>
          <w:sz w:val="22"/>
        </w:rPr>
        <w:t>nRMSE</w:t>
      </w:r>
      <w:proofErr w:type="spellEnd"/>
      <w:r w:rsidRPr="00397B1C">
        <w:rPr>
          <w:color w:val="EE0000"/>
          <w:sz w:val="22"/>
        </w:rPr>
        <w:t>, relative error (</w:t>
      </w:r>
      <w:proofErr w:type="spellStart"/>
      <w:r w:rsidRPr="00397B1C">
        <w:rPr>
          <w:color w:val="EE0000"/>
          <w:sz w:val="22"/>
        </w:rPr>
        <w:t>RelError</w:t>
      </w:r>
      <w:proofErr w:type="spellEnd"/>
      <w:r w:rsidRPr="00397B1C">
        <w:rPr>
          <w:color w:val="EE0000"/>
          <w:sz w:val="22"/>
        </w:rPr>
        <w:t>), and Lin’s concordance correlation coefficient (CCC)</w:t>
      </w:r>
      <w:r w:rsidR="00E704C5" w:rsidRPr="00397B1C">
        <w:rPr>
          <w:color w:val="EE0000"/>
          <w:sz w:val="22"/>
        </w:rPr>
        <w:t xml:space="preserve">, </w:t>
      </w:r>
      <w:r w:rsidR="00000000" w:rsidRPr="00397B1C">
        <w:rPr>
          <w:color w:val="EE0000"/>
          <w:sz w:val="22"/>
        </w:rPr>
        <w:t xml:space="preserve">calculated </w:t>
      </w:r>
      <w:r w:rsidRPr="00397B1C">
        <w:rPr>
          <w:color w:val="EE0000"/>
          <w:sz w:val="22"/>
        </w:rPr>
        <w:t xml:space="preserve">exclusively on the held-out outer test </w:t>
      </w:r>
      <w:proofErr w:type="gramStart"/>
      <w:r w:rsidRPr="00397B1C">
        <w:rPr>
          <w:color w:val="EE0000"/>
          <w:sz w:val="22"/>
        </w:rPr>
        <w:t>folds</w:t>
      </w:r>
      <w:r w:rsidRPr="00397B1C" w:rsidDel="00895706">
        <w:rPr>
          <w:color w:val="EE0000"/>
          <w:sz w:val="22"/>
        </w:rPr>
        <w:t xml:space="preserve"> </w:t>
      </w:r>
      <w:r w:rsidR="00000000" w:rsidRPr="00397B1C">
        <w:rPr>
          <w:color w:val="EE0000"/>
          <w:sz w:val="22"/>
        </w:rPr>
        <w:t xml:space="preserve"> and</w:t>
      </w:r>
      <w:proofErr w:type="gramEnd"/>
      <w:r w:rsidR="00000000" w:rsidRPr="00397B1C">
        <w:rPr>
          <w:color w:val="EE0000"/>
          <w:sz w:val="22"/>
        </w:rPr>
        <w:t xml:space="preserve"> reported as mean ± standard deviation</w:t>
      </w:r>
      <w:r w:rsidR="00000000" w:rsidRPr="00AF223D">
        <w:rPr>
          <w:sz w:val="22"/>
        </w:rPr>
        <w:t xml:space="preserve">. The nonparametric Friedman test detected significant differences in predictive accuracy between algorithms (α = 0.05), and pairwise comparisons were performed using the </w:t>
      </w:r>
      <w:proofErr w:type="spellStart"/>
      <w:r w:rsidR="00000000" w:rsidRPr="00AF223D">
        <w:rPr>
          <w:sz w:val="22"/>
        </w:rPr>
        <w:t>Nemenyi</w:t>
      </w:r>
      <w:proofErr w:type="spellEnd"/>
      <w:r w:rsidR="00000000" w:rsidRPr="00AF223D">
        <w:rPr>
          <w:sz w:val="22"/>
        </w:rPr>
        <w:t xml:space="preserve"> post hoc test. Models sharing the same letter belong to a statistically homogeneous group.</w:t>
      </w:r>
    </w:p>
    <w:p w14:paraId="22D8EE77" w14:textId="13D85D1E" w:rsidR="00E704C5" w:rsidRPr="00AF223D" w:rsidRDefault="00000000">
      <w:pPr>
        <w:rPr>
          <w:sz w:val="22"/>
        </w:rPr>
      </w:pPr>
      <w:r w:rsidRPr="00AF223D">
        <w:rPr>
          <w:sz w:val="22"/>
        </w:rPr>
        <w:t>Ordinary kriging (OK) showed the lowest predictive performance, with RMSE = 0.1545 ± 0.0072, MAE = 0.1245 ± 0.0073,</w:t>
      </w:r>
      <w:r w:rsidR="00E704C5" w:rsidRPr="00AF223D">
        <w:rPr>
          <w:sz w:val="22"/>
        </w:rPr>
        <w:t xml:space="preserve"> </w:t>
      </w:r>
      <w:proofErr w:type="spellStart"/>
      <w:r w:rsidR="00E704C5" w:rsidRPr="00AF223D">
        <w:rPr>
          <w:sz w:val="22"/>
        </w:rPr>
        <w:t>nRMSE</w:t>
      </w:r>
      <w:proofErr w:type="spellEnd"/>
      <w:r w:rsidR="00E704C5" w:rsidRPr="00AF223D">
        <w:rPr>
          <w:sz w:val="22"/>
        </w:rPr>
        <w:t xml:space="preserve"> = 29.809 ± 1.612%, and </w:t>
      </w:r>
      <w:proofErr w:type="spellStart"/>
      <w:r w:rsidR="00E704C5" w:rsidRPr="00AF223D">
        <w:rPr>
          <w:sz w:val="22"/>
        </w:rPr>
        <w:t>RelError</w:t>
      </w:r>
      <w:proofErr w:type="spellEnd"/>
      <w:r w:rsidR="00E704C5" w:rsidRPr="00AF223D">
        <w:rPr>
          <w:sz w:val="22"/>
        </w:rPr>
        <w:t xml:space="preserve"> = 35.377 ± 4.638%</w:t>
      </w:r>
      <w:r w:rsidR="00B87DB8">
        <w:rPr>
          <w:sz w:val="22"/>
        </w:rPr>
        <w:t>,</w:t>
      </w:r>
      <w:r w:rsidR="00E704C5" w:rsidRPr="00AF223D">
        <w:rPr>
          <w:sz w:val="22"/>
        </w:rPr>
        <w:t xml:space="preserve"> and lower goodness-of-fit metrics (R² = 0.2453 ± 0.0484 and CC = 0.3729 ± 0.0486)</w:t>
      </w:r>
      <w:r w:rsidRPr="00AF223D">
        <w:rPr>
          <w:sz w:val="22"/>
        </w:rPr>
        <w:t>. In contrast, the Random Forest (RF) model improved predictive accuracy</w:t>
      </w:r>
      <w:r w:rsidR="00E704C5" w:rsidRPr="00AF223D">
        <w:rPr>
          <w:sz w:val="22"/>
        </w:rPr>
        <w:t xml:space="preserve"> </w:t>
      </w:r>
      <w:r w:rsidR="00B87DB8" w:rsidRPr="00397B1C">
        <w:rPr>
          <w:color w:val="EE0000"/>
          <w:sz w:val="22"/>
        </w:rPr>
        <w:t xml:space="preserve">by reducing both absolute and relative errors while increasing explanatory and predictive </w:t>
      </w:r>
      <w:proofErr w:type="gramStart"/>
      <w:r w:rsidR="00B87DB8" w:rsidRPr="00397B1C">
        <w:rPr>
          <w:color w:val="EE0000"/>
          <w:sz w:val="22"/>
        </w:rPr>
        <w:t>power</w:t>
      </w:r>
      <w:r w:rsidR="00B87DB8" w:rsidRPr="00B87DB8">
        <w:rPr>
          <w:sz w:val="22"/>
        </w:rPr>
        <w:t xml:space="preserve"> </w:t>
      </w:r>
      <w:r w:rsidR="00E704C5" w:rsidRPr="00AF223D">
        <w:rPr>
          <w:sz w:val="22"/>
        </w:rPr>
        <w:t xml:space="preserve"> (</w:t>
      </w:r>
      <w:proofErr w:type="gramEnd"/>
      <w:r w:rsidR="00E704C5" w:rsidRPr="00397B1C">
        <w:rPr>
          <w:color w:val="EE0000"/>
          <w:sz w:val="22"/>
        </w:rPr>
        <w:t xml:space="preserve">R² = </w:t>
      </w:r>
      <w:r w:rsidR="00B87DB8" w:rsidRPr="00397B1C">
        <w:rPr>
          <w:color w:val="EE0000"/>
          <w:sz w:val="22"/>
        </w:rPr>
        <w:t>0.3148</w:t>
      </w:r>
      <w:r w:rsidR="00E704C5" w:rsidRPr="00397B1C">
        <w:rPr>
          <w:color w:val="EE0000"/>
          <w:sz w:val="22"/>
        </w:rPr>
        <w:t xml:space="preserve"> ± </w:t>
      </w:r>
      <w:r w:rsidR="00B87DB8" w:rsidRPr="00397B1C">
        <w:rPr>
          <w:color w:val="EE0000"/>
          <w:sz w:val="22"/>
        </w:rPr>
        <w:t xml:space="preserve">0.0282 </w:t>
      </w:r>
      <w:r w:rsidR="00E704C5" w:rsidRPr="00397B1C">
        <w:rPr>
          <w:color w:val="EE0000"/>
          <w:sz w:val="22"/>
        </w:rPr>
        <w:t xml:space="preserve">and CC = </w:t>
      </w:r>
      <w:r w:rsidR="00B87DB8" w:rsidRPr="00397B1C">
        <w:rPr>
          <w:color w:val="EE0000"/>
          <w:sz w:val="22"/>
        </w:rPr>
        <w:t>0.4966 ± 0.0290</w:t>
      </w:r>
      <w:r w:rsidR="00E704C5" w:rsidRPr="00AF223D">
        <w:rPr>
          <w:sz w:val="22"/>
        </w:rPr>
        <w:t>).</w:t>
      </w:r>
    </w:p>
    <w:p w14:paraId="66D681B2" w14:textId="72D16731" w:rsidR="003B41E9" w:rsidRPr="00AF223D" w:rsidRDefault="00000000">
      <w:pPr>
        <w:rPr>
          <w:sz w:val="22"/>
        </w:rPr>
      </w:pPr>
      <w:r w:rsidRPr="00AF223D">
        <w:rPr>
          <w:sz w:val="22"/>
        </w:rPr>
        <w:t xml:space="preserve">The hybrid RF + residual Kriging (RF+RK) model achieved the best performance, with the lowest prediction errors </w:t>
      </w:r>
      <w:r w:rsidRPr="00397B1C">
        <w:rPr>
          <w:color w:val="EE0000"/>
          <w:sz w:val="22"/>
        </w:rPr>
        <w:t xml:space="preserve">(RMSE = </w:t>
      </w:r>
      <w:r w:rsidR="00B87DB8" w:rsidRPr="00397B1C">
        <w:rPr>
          <w:color w:val="EE0000"/>
          <w:sz w:val="22"/>
        </w:rPr>
        <w:t>0.1478 ± 0.0062</w:t>
      </w:r>
      <w:r w:rsidRPr="00397B1C">
        <w:rPr>
          <w:color w:val="EE0000"/>
          <w:sz w:val="22"/>
        </w:rPr>
        <w:t xml:space="preserve">; MAE = </w:t>
      </w:r>
      <w:r w:rsidR="00B87DB8" w:rsidRPr="00397B1C">
        <w:rPr>
          <w:color w:val="EE0000"/>
          <w:sz w:val="22"/>
        </w:rPr>
        <w:t>0.1162 ± 0.0048</w:t>
      </w:r>
      <w:r w:rsidR="00E704C5" w:rsidRPr="00397B1C">
        <w:rPr>
          <w:color w:val="EE0000"/>
          <w:sz w:val="22"/>
        </w:rPr>
        <w:t xml:space="preserve">; </w:t>
      </w:r>
      <w:proofErr w:type="spellStart"/>
      <w:r w:rsidR="00E704C5" w:rsidRPr="00397B1C">
        <w:rPr>
          <w:color w:val="EE0000"/>
          <w:sz w:val="22"/>
        </w:rPr>
        <w:t>nRMSE</w:t>
      </w:r>
      <w:proofErr w:type="spellEnd"/>
      <w:r w:rsidR="00E704C5" w:rsidRPr="00397B1C">
        <w:rPr>
          <w:color w:val="EE0000"/>
          <w:sz w:val="22"/>
        </w:rPr>
        <w:t xml:space="preserve"> = </w:t>
      </w:r>
      <w:r w:rsidR="00B87DB8" w:rsidRPr="00397B1C">
        <w:rPr>
          <w:color w:val="EE0000"/>
          <w:sz w:val="22"/>
        </w:rPr>
        <w:t>28.492 ± 1.348%</w:t>
      </w:r>
      <w:r w:rsidR="00E704C5" w:rsidRPr="00397B1C">
        <w:rPr>
          <w:color w:val="EE0000"/>
          <w:sz w:val="22"/>
        </w:rPr>
        <w:t xml:space="preserve">, and </w:t>
      </w:r>
      <w:proofErr w:type="spellStart"/>
      <w:r w:rsidR="00E704C5" w:rsidRPr="00397B1C">
        <w:rPr>
          <w:color w:val="EE0000"/>
          <w:sz w:val="22"/>
        </w:rPr>
        <w:t>RelError</w:t>
      </w:r>
      <w:proofErr w:type="spellEnd"/>
      <w:r w:rsidR="00E704C5" w:rsidRPr="00397B1C">
        <w:rPr>
          <w:color w:val="EE0000"/>
          <w:sz w:val="22"/>
        </w:rPr>
        <w:t xml:space="preserve"> = </w:t>
      </w:r>
      <w:r w:rsidR="00B87DB8" w:rsidRPr="00397B1C">
        <w:rPr>
          <w:color w:val="EE0000"/>
          <w:sz w:val="22"/>
        </w:rPr>
        <w:t>32.051 ± 3.867%, R² = 0.3098 ± 0.0330, CCC = 0.5036 ± 0.0301</w:t>
      </w:r>
      <w:r w:rsidR="00E704C5" w:rsidRPr="00397B1C">
        <w:rPr>
          <w:color w:val="EE0000"/>
          <w:sz w:val="22"/>
        </w:rPr>
        <w:t>)</w:t>
      </w:r>
      <w:r w:rsidRPr="00AF223D">
        <w:rPr>
          <w:sz w:val="22"/>
        </w:rPr>
        <w:t xml:space="preserve">. However, according to the </w:t>
      </w:r>
      <w:proofErr w:type="spellStart"/>
      <w:r w:rsidRPr="00AF223D">
        <w:rPr>
          <w:sz w:val="22"/>
        </w:rPr>
        <w:t>Nemenyi</w:t>
      </w:r>
      <w:proofErr w:type="spellEnd"/>
      <w:r w:rsidRPr="00AF223D">
        <w:rPr>
          <w:sz w:val="22"/>
        </w:rPr>
        <w:t xml:space="preserve"> test, RF and RF+RK did not show statistically significant differences.</w:t>
      </w:r>
    </w:p>
    <w:p w14:paraId="3F027C41" w14:textId="3C7D4780" w:rsidR="00F401FF" w:rsidRPr="00AF223D" w:rsidRDefault="00F401FF" w:rsidP="00F401FF">
      <w:pPr>
        <w:spacing w:before="200"/>
        <w:jc w:val="left"/>
        <w:rPr>
          <w:sz w:val="22"/>
        </w:rPr>
      </w:pPr>
      <w:r w:rsidRPr="00AF223D">
        <w:rPr>
          <w:sz w:val="22"/>
        </w:rPr>
        <w:t>Table </w:t>
      </w:r>
      <w:r w:rsidR="005B24A4">
        <w:rPr>
          <w:sz w:val="22"/>
        </w:rPr>
        <w:t>4</w:t>
      </w:r>
      <w:r w:rsidRPr="00AF223D">
        <w:rPr>
          <w:sz w:val="22"/>
        </w:rPr>
        <w:t>:</w:t>
      </w:r>
      <w:r w:rsidRPr="00AF223D">
        <w:rPr>
          <w:i/>
          <w:iCs/>
          <w:sz w:val="22"/>
        </w:rPr>
        <w:t xml:space="preserve"> Cross-validation performance metrics of predictive models for the Soil Quality Index (</w:t>
      </w:r>
      <w:proofErr w:type="spellStart"/>
      <w:r w:rsidRPr="00AF223D">
        <w:rPr>
          <w:i/>
          <w:iCs/>
          <w:sz w:val="22"/>
        </w:rPr>
        <w:t>SQIw</w:t>
      </w:r>
      <w:proofErr w:type="spellEnd"/>
      <w:r w:rsidRPr="00AF223D">
        <w:rPr>
          <w:i/>
          <w:iCs/>
          <w:sz w:val="22"/>
        </w:rPr>
        <w:t>)</w:t>
      </w:r>
    </w:p>
    <w:tbl>
      <w:tblPr>
        <w:tblStyle w:val="Table"/>
        <w:tblW w:w="5000" w:type="pct"/>
        <w:tblLayout w:type="fixed"/>
        <w:tblLook w:val="0020" w:firstRow="1" w:lastRow="0" w:firstColumn="0" w:lastColumn="0" w:noHBand="0" w:noVBand="0"/>
      </w:tblPr>
      <w:tblGrid>
        <w:gridCol w:w="2421"/>
        <w:gridCol w:w="2422"/>
        <w:gridCol w:w="2422"/>
        <w:gridCol w:w="2512"/>
      </w:tblGrid>
      <w:tr w:rsidR="00C73927" w:rsidRPr="00C73927" w14:paraId="5BED5E50" w14:textId="77777777" w:rsidTr="00F401FF">
        <w:trPr>
          <w:cnfStyle w:val="100000000000" w:firstRow="1" w:lastRow="0" w:firstColumn="0" w:lastColumn="0" w:oddVBand="0" w:evenVBand="0" w:oddHBand="0" w:evenHBand="0" w:firstRowFirstColumn="0" w:firstRowLastColumn="0" w:lastRowFirstColumn="0" w:lastRowLastColumn="0"/>
          <w:tblHeader/>
        </w:trPr>
        <w:tc>
          <w:tcPr>
            <w:tcW w:w="2421" w:type="dxa"/>
          </w:tcPr>
          <w:p w14:paraId="4E3A6F57" w14:textId="77777777" w:rsidR="003B41E9" w:rsidRPr="00397B1C" w:rsidRDefault="00000000" w:rsidP="00397B1C">
            <w:pPr>
              <w:jc w:val="center"/>
              <w:rPr>
                <w:color w:val="EE0000"/>
                <w:sz w:val="22"/>
              </w:rPr>
            </w:pPr>
            <w:r w:rsidRPr="00397B1C">
              <w:rPr>
                <w:bCs/>
                <w:color w:val="EE0000"/>
                <w:sz w:val="22"/>
              </w:rPr>
              <w:t>Model</w:t>
            </w:r>
          </w:p>
        </w:tc>
        <w:tc>
          <w:tcPr>
            <w:tcW w:w="2422" w:type="dxa"/>
          </w:tcPr>
          <w:p w14:paraId="32CE491A" w14:textId="77777777" w:rsidR="003B41E9" w:rsidRPr="00397B1C" w:rsidRDefault="00000000" w:rsidP="00397B1C">
            <w:pPr>
              <w:jc w:val="center"/>
              <w:rPr>
                <w:color w:val="EE0000"/>
                <w:sz w:val="22"/>
              </w:rPr>
            </w:pPr>
            <w:r w:rsidRPr="00397B1C">
              <w:rPr>
                <w:bCs/>
                <w:color w:val="EE0000"/>
                <w:sz w:val="22"/>
              </w:rPr>
              <w:t>RMSE (± SD)</w:t>
            </w:r>
          </w:p>
        </w:tc>
        <w:tc>
          <w:tcPr>
            <w:tcW w:w="2422" w:type="dxa"/>
          </w:tcPr>
          <w:p w14:paraId="2ED744E3" w14:textId="77777777" w:rsidR="003B41E9" w:rsidRPr="00397B1C" w:rsidRDefault="00000000" w:rsidP="00397B1C">
            <w:pPr>
              <w:jc w:val="center"/>
              <w:rPr>
                <w:color w:val="EE0000"/>
                <w:sz w:val="22"/>
              </w:rPr>
            </w:pPr>
            <w:r w:rsidRPr="00397B1C">
              <w:rPr>
                <w:bCs/>
                <w:color w:val="EE0000"/>
                <w:sz w:val="22"/>
              </w:rPr>
              <w:t>MAE (± SD)</w:t>
            </w:r>
          </w:p>
        </w:tc>
        <w:tc>
          <w:tcPr>
            <w:tcW w:w="2512" w:type="dxa"/>
          </w:tcPr>
          <w:p w14:paraId="137A7529" w14:textId="77777777" w:rsidR="003B41E9" w:rsidRPr="00397B1C" w:rsidRDefault="00000000" w:rsidP="00397B1C">
            <w:pPr>
              <w:jc w:val="center"/>
              <w:rPr>
                <w:color w:val="EE0000"/>
                <w:sz w:val="22"/>
              </w:rPr>
            </w:pPr>
            <w:r w:rsidRPr="00397B1C">
              <w:rPr>
                <w:bCs/>
                <w:color w:val="EE0000"/>
                <w:sz w:val="22"/>
              </w:rPr>
              <w:t>R² (± SD)</w:t>
            </w:r>
          </w:p>
        </w:tc>
      </w:tr>
      <w:tr w:rsidR="00C73927" w:rsidRPr="00C73927" w14:paraId="4DA8B5C7" w14:textId="77777777" w:rsidTr="00D9387E">
        <w:tc>
          <w:tcPr>
            <w:tcW w:w="2421" w:type="dxa"/>
          </w:tcPr>
          <w:p w14:paraId="3C481AA6" w14:textId="77777777" w:rsidR="00C73927" w:rsidRPr="00397B1C" w:rsidRDefault="00C73927" w:rsidP="00C73927">
            <w:pPr>
              <w:rPr>
                <w:color w:val="EE0000"/>
                <w:sz w:val="22"/>
              </w:rPr>
            </w:pPr>
            <w:r w:rsidRPr="00397B1C">
              <w:rPr>
                <w:b/>
                <w:bCs/>
                <w:color w:val="EE0000"/>
                <w:sz w:val="22"/>
              </w:rPr>
              <w:t>Ordinary Kriging</w:t>
            </w:r>
          </w:p>
        </w:tc>
        <w:tc>
          <w:tcPr>
            <w:tcW w:w="2422" w:type="dxa"/>
            <w:vAlign w:val="bottom"/>
          </w:tcPr>
          <w:p w14:paraId="35332840" w14:textId="6670A840" w:rsidR="00C73927" w:rsidRPr="00397B1C" w:rsidRDefault="00C73927" w:rsidP="00C73927">
            <w:pPr>
              <w:rPr>
                <w:color w:val="EE0000"/>
                <w:sz w:val="22"/>
              </w:rPr>
            </w:pPr>
            <w:r w:rsidRPr="00397B1C">
              <w:rPr>
                <w:rFonts w:cs="Times New Roman"/>
                <w:color w:val="EE0000"/>
                <w:sz w:val="22"/>
              </w:rPr>
              <w:t>0.1545</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0.0072 (a)</w:t>
            </w:r>
          </w:p>
        </w:tc>
        <w:tc>
          <w:tcPr>
            <w:tcW w:w="2422" w:type="dxa"/>
            <w:vAlign w:val="bottom"/>
          </w:tcPr>
          <w:p w14:paraId="069BDFD8" w14:textId="0AF39D5C" w:rsidR="00C73927" w:rsidRPr="00397B1C" w:rsidRDefault="00C73927" w:rsidP="00C73927">
            <w:pPr>
              <w:rPr>
                <w:color w:val="EE0000"/>
                <w:sz w:val="22"/>
              </w:rPr>
            </w:pPr>
            <w:r w:rsidRPr="00397B1C">
              <w:rPr>
                <w:rFonts w:cs="Times New Roman"/>
                <w:color w:val="EE0000"/>
                <w:sz w:val="22"/>
              </w:rPr>
              <w:t>0.1245</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0.0073 (b)</w:t>
            </w:r>
          </w:p>
        </w:tc>
        <w:tc>
          <w:tcPr>
            <w:tcW w:w="2512" w:type="dxa"/>
            <w:vAlign w:val="bottom"/>
          </w:tcPr>
          <w:p w14:paraId="24E7049D" w14:textId="3EE87A6F" w:rsidR="00C73927" w:rsidRPr="00397B1C" w:rsidRDefault="00C73927" w:rsidP="00C73927">
            <w:pPr>
              <w:rPr>
                <w:color w:val="EE0000"/>
                <w:sz w:val="22"/>
              </w:rPr>
            </w:pPr>
            <w:r w:rsidRPr="00397B1C">
              <w:rPr>
                <w:rFonts w:cs="Times New Roman"/>
                <w:color w:val="EE0000"/>
                <w:sz w:val="22"/>
              </w:rPr>
              <w:t>0.2453</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0.0484 (a)</w:t>
            </w:r>
          </w:p>
        </w:tc>
      </w:tr>
      <w:tr w:rsidR="00C73927" w:rsidRPr="00C73927" w14:paraId="71771234" w14:textId="77777777" w:rsidTr="00D9387E">
        <w:tc>
          <w:tcPr>
            <w:tcW w:w="2421" w:type="dxa"/>
          </w:tcPr>
          <w:p w14:paraId="5C527CB7" w14:textId="77777777" w:rsidR="00C73927" w:rsidRPr="00397B1C" w:rsidRDefault="00C73927" w:rsidP="00C73927">
            <w:pPr>
              <w:rPr>
                <w:color w:val="EE0000"/>
                <w:sz w:val="22"/>
              </w:rPr>
            </w:pPr>
            <w:r w:rsidRPr="00397B1C">
              <w:rPr>
                <w:b/>
                <w:bCs/>
                <w:color w:val="EE0000"/>
                <w:sz w:val="22"/>
              </w:rPr>
              <w:t>Random Forest (RF)</w:t>
            </w:r>
          </w:p>
        </w:tc>
        <w:tc>
          <w:tcPr>
            <w:tcW w:w="2422" w:type="dxa"/>
            <w:vAlign w:val="bottom"/>
          </w:tcPr>
          <w:p w14:paraId="6387681F" w14:textId="77ADCE03" w:rsidR="00C73927" w:rsidRPr="00397B1C" w:rsidRDefault="00C73927" w:rsidP="00C73927">
            <w:pPr>
              <w:rPr>
                <w:color w:val="EE0000"/>
                <w:sz w:val="22"/>
              </w:rPr>
            </w:pPr>
            <w:r w:rsidRPr="00397B1C">
              <w:rPr>
                <w:rFonts w:cs="Times New Roman"/>
                <w:color w:val="EE0000"/>
                <w:sz w:val="22"/>
              </w:rPr>
              <w:t>0.1473</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0.0067 (a)</w:t>
            </w:r>
          </w:p>
        </w:tc>
        <w:tc>
          <w:tcPr>
            <w:tcW w:w="2422" w:type="dxa"/>
            <w:vAlign w:val="bottom"/>
          </w:tcPr>
          <w:p w14:paraId="5CB25FD3" w14:textId="61C53330" w:rsidR="00C73927" w:rsidRPr="00397B1C" w:rsidRDefault="00C73927" w:rsidP="00C73927">
            <w:pPr>
              <w:rPr>
                <w:color w:val="EE0000"/>
                <w:sz w:val="22"/>
              </w:rPr>
            </w:pPr>
            <w:r w:rsidRPr="00397B1C">
              <w:rPr>
                <w:rFonts w:cs="Times New Roman"/>
                <w:color w:val="EE0000"/>
                <w:sz w:val="22"/>
              </w:rPr>
              <w:t>0.1160</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0.0055 (a)</w:t>
            </w:r>
          </w:p>
        </w:tc>
        <w:tc>
          <w:tcPr>
            <w:tcW w:w="2512" w:type="dxa"/>
            <w:vAlign w:val="bottom"/>
          </w:tcPr>
          <w:p w14:paraId="42131771" w14:textId="65499A11" w:rsidR="00C73927" w:rsidRPr="00397B1C" w:rsidRDefault="00C73927" w:rsidP="00C73927">
            <w:pPr>
              <w:rPr>
                <w:color w:val="EE0000"/>
                <w:sz w:val="22"/>
              </w:rPr>
            </w:pPr>
            <w:r w:rsidRPr="00397B1C">
              <w:rPr>
                <w:rFonts w:cs="Times New Roman"/>
                <w:color w:val="EE0000"/>
                <w:sz w:val="22"/>
              </w:rPr>
              <w:t>0.3148</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0.0417 (a)</w:t>
            </w:r>
          </w:p>
        </w:tc>
      </w:tr>
      <w:tr w:rsidR="00C73927" w:rsidRPr="00C73927" w14:paraId="7A653983" w14:textId="77777777" w:rsidTr="00D9387E">
        <w:tc>
          <w:tcPr>
            <w:tcW w:w="2421" w:type="dxa"/>
            <w:tcBorders>
              <w:bottom w:val="nil"/>
            </w:tcBorders>
          </w:tcPr>
          <w:p w14:paraId="00025206" w14:textId="77777777" w:rsidR="00C73927" w:rsidRPr="00397B1C" w:rsidRDefault="00C73927" w:rsidP="00C73927">
            <w:pPr>
              <w:rPr>
                <w:color w:val="EE0000"/>
                <w:sz w:val="22"/>
              </w:rPr>
            </w:pPr>
            <w:r w:rsidRPr="00397B1C">
              <w:rPr>
                <w:b/>
                <w:bCs/>
                <w:color w:val="EE0000"/>
                <w:sz w:val="22"/>
              </w:rPr>
              <w:t>RF + Residual Kriging</w:t>
            </w:r>
          </w:p>
        </w:tc>
        <w:tc>
          <w:tcPr>
            <w:tcW w:w="2422" w:type="dxa"/>
            <w:tcBorders>
              <w:bottom w:val="nil"/>
            </w:tcBorders>
            <w:vAlign w:val="bottom"/>
          </w:tcPr>
          <w:p w14:paraId="741170D7" w14:textId="53A87204" w:rsidR="00C73927" w:rsidRPr="00397B1C" w:rsidRDefault="00C73927" w:rsidP="00C73927">
            <w:pPr>
              <w:rPr>
                <w:color w:val="EE0000"/>
                <w:sz w:val="22"/>
              </w:rPr>
            </w:pPr>
            <w:r w:rsidRPr="00397B1C">
              <w:rPr>
                <w:rFonts w:cs="Times New Roman"/>
                <w:color w:val="EE0000"/>
                <w:sz w:val="22"/>
              </w:rPr>
              <w:t>0.1478</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0.0066 (a)</w:t>
            </w:r>
          </w:p>
        </w:tc>
        <w:tc>
          <w:tcPr>
            <w:tcW w:w="2422" w:type="dxa"/>
            <w:tcBorders>
              <w:bottom w:val="nil"/>
            </w:tcBorders>
            <w:vAlign w:val="bottom"/>
          </w:tcPr>
          <w:p w14:paraId="5C22DEF1" w14:textId="002AD641" w:rsidR="00C73927" w:rsidRPr="00397B1C" w:rsidRDefault="00C73927" w:rsidP="00C73927">
            <w:pPr>
              <w:rPr>
                <w:color w:val="EE0000"/>
                <w:sz w:val="22"/>
              </w:rPr>
            </w:pPr>
            <w:r w:rsidRPr="00397B1C">
              <w:rPr>
                <w:rFonts w:cs="Times New Roman"/>
                <w:color w:val="EE0000"/>
                <w:sz w:val="22"/>
              </w:rPr>
              <w:t>0.1162</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0.0052 (a)</w:t>
            </w:r>
          </w:p>
        </w:tc>
        <w:tc>
          <w:tcPr>
            <w:tcW w:w="2512" w:type="dxa"/>
            <w:tcBorders>
              <w:bottom w:val="nil"/>
            </w:tcBorders>
            <w:vAlign w:val="bottom"/>
          </w:tcPr>
          <w:p w14:paraId="40CFAE79" w14:textId="066A2414" w:rsidR="00C73927" w:rsidRPr="00397B1C" w:rsidRDefault="00C73927" w:rsidP="00C73927">
            <w:pPr>
              <w:rPr>
                <w:color w:val="EE0000"/>
                <w:sz w:val="22"/>
              </w:rPr>
            </w:pPr>
            <w:r w:rsidRPr="00397B1C">
              <w:rPr>
                <w:rFonts w:cs="Times New Roman"/>
                <w:color w:val="EE0000"/>
                <w:sz w:val="22"/>
              </w:rPr>
              <w:t>0.3098</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0.0483 (a)</w:t>
            </w:r>
          </w:p>
        </w:tc>
      </w:tr>
      <w:tr w:rsidR="00C73927" w:rsidRPr="00C73927" w14:paraId="087C9E53" w14:textId="77777777" w:rsidTr="00D9387E">
        <w:tc>
          <w:tcPr>
            <w:tcW w:w="2421" w:type="dxa"/>
            <w:tcBorders>
              <w:top w:val="nil"/>
              <w:bottom w:val="single" w:sz="4" w:space="0" w:color="auto"/>
            </w:tcBorders>
          </w:tcPr>
          <w:p w14:paraId="474200D3" w14:textId="73321E67" w:rsidR="00C73927" w:rsidRPr="00397B1C" w:rsidRDefault="00C73927" w:rsidP="00C73927">
            <w:pPr>
              <w:rPr>
                <w:b/>
                <w:bCs/>
                <w:color w:val="EE0000"/>
                <w:sz w:val="22"/>
              </w:rPr>
            </w:pPr>
            <w:r w:rsidRPr="00397B1C">
              <w:rPr>
                <w:b/>
                <w:bCs/>
                <w:color w:val="EE0000"/>
                <w:sz w:val="22"/>
              </w:rPr>
              <w:t>Reduced RF + Residual Kriging</w:t>
            </w:r>
          </w:p>
        </w:tc>
        <w:tc>
          <w:tcPr>
            <w:tcW w:w="2422" w:type="dxa"/>
            <w:tcBorders>
              <w:top w:val="nil"/>
              <w:bottom w:val="single" w:sz="4" w:space="0" w:color="auto"/>
            </w:tcBorders>
            <w:vAlign w:val="bottom"/>
          </w:tcPr>
          <w:p w14:paraId="4A2669CE" w14:textId="0F5A9C26" w:rsidR="00C73927" w:rsidRPr="00397B1C" w:rsidRDefault="00C73927" w:rsidP="00C73927">
            <w:pPr>
              <w:rPr>
                <w:color w:val="EE0000"/>
                <w:sz w:val="22"/>
              </w:rPr>
            </w:pPr>
            <w:r w:rsidRPr="00397B1C">
              <w:rPr>
                <w:rFonts w:cs="Times New Roman"/>
                <w:color w:val="EE0000"/>
                <w:sz w:val="22"/>
              </w:rPr>
              <w:t>0.1444</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0.0055 (a)</w:t>
            </w:r>
          </w:p>
        </w:tc>
        <w:tc>
          <w:tcPr>
            <w:tcW w:w="2422" w:type="dxa"/>
            <w:tcBorders>
              <w:top w:val="nil"/>
              <w:bottom w:val="single" w:sz="4" w:space="0" w:color="auto"/>
            </w:tcBorders>
            <w:vAlign w:val="bottom"/>
          </w:tcPr>
          <w:p w14:paraId="3EB5E4CB" w14:textId="48008047" w:rsidR="00C73927" w:rsidRPr="00397B1C" w:rsidRDefault="00C73927" w:rsidP="00C73927">
            <w:pPr>
              <w:rPr>
                <w:color w:val="EE0000"/>
                <w:sz w:val="22"/>
              </w:rPr>
            </w:pPr>
            <w:r w:rsidRPr="00397B1C">
              <w:rPr>
                <w:rFonts w:cs="Times New Roman"/>
                <w:color w:val="EE0000"/>
                <w:sz w:val="22"/>
              </w:rPr>
              <w:t>0.1126</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0.0039 (a)</w:t>
            </w:r>
          </w:p>
        </w:tc>
        <w:tc>
          <w:tcPr>
            <w:tcW w:w="2512" w:type="dxa"/>
            <w:tcBorders>
              <w:top w:val="nil"/>
              <w:bottom w:val="single" w:sz="4" w:space="0" w:color="auto"/>
            </w:tcBorders>
            <w:vAlign w:val="bottom"/>
          </w:tcPr>
          <w:p w14:paraId="63171B3B" w14:textId="303F71C0" w:rsidR="00C73927" w:rsidRPr="00397B1C" w:rsidRDefault="00C73927" w:rsidP="00C73927">
            <w:pPr>
              <w:rPr>
                <w:color w:val="EE0000"/>
                <w:sz w:val="22"/>
              </w:rPr>
            </w:pPr>
            <w:r w:rsidRPr="00397B1C">
              <w:rPr>
                <w:rFonts w:cs="Times New Roman"/>
                <w:color w:val="EE0000"/>
                <w:sz w:val="22"/>
              </w:rPr>
              <w:t>0.3398</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0.0555 (a)</w:t>
            </w:r>
          </w:p>
        </w:tc>
      </w:tr>
      <w:tr w:rsidR="00C73927" w:rsidRPr="00C73927" w14:paraId="09723E13" w14:textId="77777777" w:rsidTr="0027496D">
        <w:tc>
          <w:tcPr>
            <w:tcW w:w="2421" w:type="dxa"/>
            <w:tcBorders>
              <w:top w:val="single" w:sz="4" w:space="0" w:color="auto"/>
              <w:bottom w:val="single" w:sz="4" w:space="0" w:color="auto"/>
            </w:tcBorders>
          </w:tcPr>
          <w:p w14:paraId="1A269A3C" w14:textId="62A41BD2" w:rsidR="00FF2A26" w:rsidRPr="00397B1C" w:rsidRDefault="00FF2A26" w:rsidP="00397B1C">
            <w:pPr>
              <w:jc w:val="center"/>
              <w:rPr>
                <w:b/>
                <w:color w:val="EE0000"/>
                <w:sz w:val="22"/>
              </w:rPr>
            </w:pPr>
            <w:r w:rsidRPr="00397B1C">
              <w:rPr>
                <w:b/>
                <w:color w:val="EE0000"/>
                <w:sz w:val="22"/>
              </w:rPr>
              <w:t>Model</w:t>
            </w:r>
          </w:p>
        </w:tc>
        <w:tc>
          <w:tcPr>
            <w:tcW w:w="2422" w:type="dxa"/>
            <w:tcBorders>
              <w:top w:val="single" w:sz="4" w:space="0" w:color="auto"/>
              <w:bottom w:val="single" w:sz="4" w:space="0" w:color="auto"/>
            </w:tcBorders>
            <w:vAlign w:val="top"/>
          </w:tcPr>
          <w:p w14:paraId="55F7BBB3" w14:textId="10BF5720" w:rsidR="00FF2A26" w:rsidRPr="00397B1C" w:rsidRDefault="00FF2A26" w:rsidP="00397B1C">
            <w:pPr>
              <w:jc w:val="center"/>
              <w:rPr>
                <w:b/>
                <w:color w:val="EE0000"/>
                <w:sz w:val="22"/>
              </w:rPr>
            </w:pPr>
            <w:proofErr w:type="spellStart"/>
            <w:r w:rsidRPr="00397B1C">
              <w:rPr>
                <w:b/>
                <w:bCs/>
                <w:color w:val="EE0000"/>
                <w:sz w:val="22"/>
              </w:rPr>
              <w:t>nRMSE</w:t>
            </w:r>
            <w:proofErr w:type="spellEnd"/>
            <w:r w:rsidRPr="00397B1C">
              <w:rPr>
                <w:b/>
                <w:bCs/>
                <w:color w:val="EE0000"/>
                <w:sz w:val="22"/>
              </w:rPr>
              <w:t xml:space="preserve"> (± SD)</w:t>
            </w:r>
          </w:p>
        </w:tc>
        <w:tc>
          <w:tcPr>
            <w:tcW w:w="2422" w:type="dxa"/>
            <w:tcBorders>
              <w:top w:val="single" w:sz="4" w:space="0" w:color="auto"/>
              <w:bottom w:val="single" w:sz="4" w:space="0" w:color="auto"/>
            </w:tcBorders>
            <w:vAlign w:val="top"/>
          </w:tcPr>
          <w:p w14:paraId="1BE89BF2" w14:textId="5AFE71A7" w:rsidR="00FF2A26" w:rsidRPr="00397B1C" w:rsidRDefault="00FF2A26" w:rsidP="00397B1C">
            <w:pPr>
              <w:jc w:val="center"/>
              <w:rPr>
                <w:b/>
                <w:color w:val="EE0000"/>
                <w:sz w:val="22"/>
              </w:rPr>
            </w:pPr>
            <w:proofErr w:type="spellStart"/>
            <w:r w:rsidRPr="00397B1C">
              <w:rPr>
                <w:b/>
                <w:bCs/>
                <w:color w:val="EE0000"/>
                <w:sz w:val="22"/>
              </w:rPr>
              <w:t>RelError</w:t>
            </w:r>
            <w:proofErr w:type="spellEnd"/>
            <w:r w:rsidRPr="00397B1C">
              <w:rPr>
                <w:b/>
                <w:bCs/>
                <w:color w:val="EE0000"/>
                <w:sz w:val="22"/>
              </w:rPr>
              <w:t xml:space="preserve"> (± SD)</w:t>
            </w:r>
          </w:p>
        </w:tc>
        <w:tc>
          <w:tcPr>
            <w:tcW w:w="2512" w:type="dxa"/>
            <w:tcBorders>
              <w:top w:val="single" w:sz="4" w:space="0" w:color="auto"/>
              <w:bottom w:val="single" w:sz="4" w:space="0" w:color="auto"/>
            </w:tcBorders>
            <w:vAlign w:val="top"/>
          </w:tcPr>
          <w:p w14:paraId="45B34531" w14:textId="31C960BA" w:rsidR="00FF2A26" w:rsidRPr="00397B1C" w:rsidRDefault="00FF2A26" w:rsidP="00397B1C">
            <w:pPr>
              <w:jc w:val="center"/>
              <w:rPr>
                <w:b/>
                <w:color w:val="EE0000"/>
                <w:sz w:val="22"/>
              </w:rPr>
            </w:pPr>
            <w:r w:rsidRPr="00397B1C">
              <w:rPr>
                <w:b/>
                <w:bCs/>
                <w:color w:val="EE0000"/>
                <w:sz w:val="22"/>
              </w:rPr>
              <w:t>CC (± SD)</w:t>
            </w:r>
          </w:p>
        </w:tc>
      </w:tr>
      <w:tr w:rsidR="00C73927" w:rsidRPr="00C73927" w14:paraId="02CF985A" w14:textId="77777777" w:rsidTr="00793579">
        <w:tc>
          <w:tcPr>
            <w:tcW w:w="2421" w:type="dxa"/>
            <w:tcBorders>
              <w:top w:val="single" w:sz="4" w:space="0" w:color="auto"/>
            </w:tcBorders>
          </w:tcPr>
          <w:p w14:paraId="7EA99D40" w14:textId="7F5E969B" w:rsidR="00C73927" w:rsidRPr="00397B1C" w:rsidRDefault="00C73927" w:rsidP="00C73927">
            <w:pPr>
              <w:rPr>
                <w:b/>
                <w:bCs/>
                <w:color w:val="EE0000"/>
                <w:sz w:val="22"/>
              </w:rPr>
            </w:pPr>
            <w:r w:rsidRPr="00397B1C">
              <w:rPr>
                <w:b/>
                <w:bCs/>
                <w:color w:val="EE0000"/>
                <w:sz w:val="22"/>
              </w:rPr>
              <w:t>Ordinary Kriging</w:t>
            </w:r>
          </w:p>
        </w:tc>
        <w:tc>
          <w:tcPr>
            <w:tcW w:w="2422" w:type="dxa"/>
            <w:tcBorders>
              <w:top w:val="single" w:sz="4" w:space="0" w:color="auto"/>
            </w:tcBorders>
            <w:vAlign w:val="bottom"/>
          </w:tcPr>
          <w:p w14:paraId="4C029AC2" w14:textId="30F6CA0A" w:rsidR="00C73927" w:rsidRPr="00397B1C" w:rsidRDefault="00C73927" w:rsidP="00C73927">
            <w:pPr>
              <w:rPr>
                <w:color w:val="EE0000"/>
                <w:sz w:val="22"/>
              </w:rPr>
            </w:pPr>
            <w:r w:rsidRPr="00397B1C">
              <w:rPr>
                <w:rFonts w:cs="Times New Roman"/>
                <w:color w:val="EE0000"/>
                <w:sz w:val="22"/>
              </w:rPr>
              <w:t>29.8086</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1.6122 (a)</w:t>
            </w:r>
          </w:p>
        </w:tc>
        <w:tc>
          <w:tcPr>
            <w:tcW w:w="2422" w:type="dxa"/>
            <w:tcBorders>
              <w:top w:val="single" w:sz="4" w:space="0" w:color="auto"/>
            </w:tcBorders>
            <w:vAlign w:val="bottom"/>
          </w:tcPr>
          <w:p w14:paraId="1AF7DDB8" w14:textId="06B1C162" w:rsidR="00C73927" w:rsidRPr="00397B1C" w:rsidRDefault="00C73927" w:rsidP="00C73927">
            <w:pPr>
              <w:rPr>
                <w:color w:val="EE0000"/>
                <w:sz w:val="22"/>
              </w:rPr>
            </w:pPr>
            <w:r w:rsidRPr="00397B1C">
              <w:rPr>
                <w:rFonts w:cs="Times New Roman"/>
                <w:color w:val="EE0000"/>
                <w:sz w:val="22"/>
              </w:rPr>
              <w:t>35.3769</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4.6377 (b)</w:t>
            </w:r>
          </w:p>
        </w:tc>
        <w:tc>
          <w:tcPr>
            <w:tcW w:w="2512" w:type="dxa"/>
            <w:tcBorders>
              <w:top w:val="single" w:sz="4" w:space="0" w:color="auto"/>
            </w:tcBorders>
            <w:vAlign w:val="bottom"/>
          </w:tcPr>
          <w:p w14:paraId="32019C22" w14:textId="6C546E6E" w:rsidR="00C73927" w:rsidRPr="00397B1C" w:rsidRDefault="00C73927" w:rsidP="00C73927">
            <w:pPr>
              <w:rPr>
                <w:color w:val="EE0000"/>
                <w:sz w:val="22"/>
              </w:rPr>
            </w:pPr>
            <w:r w:rsidRPr="00397B1C">
              <w:rPr>
                <w:rFonts w:cs="Times New Roman"/>
                <w:color w:val="EE0000"/>
                <w:sz w:val="22"/>
              </w:rPr>
              <w:t>0.3729</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0.0486 (b)</w:t>
            </w:r>
          </w:p>
        </w:tc>
      </w:tr>
      <w:tr w:rsidR="00C73927" w:rsidRPr="00C73927" w14:paraId="69A01D8A" w14:textId="77777777" w:rsidTr="00793579">
        <w:tc>
          <w:tcPr>
            <w:tcW w:w="2421" w:type="dxa"/>
          </w:tcPr>
          <w:p w14:paraId="0CE23B10" w14:textId="0B2BFFC5" w:rsidR="00C73927" w:rsidRPr="00397B1C" w:rsidRDefault="00C73927" w:rsidP="00C73927">
            <w:pPr>
              <w:rPr>
                <w:b/>
                <w:bCs/>
                <w:color w:val="EE0000"/>
                <w:sz w:val="22"/>
              </w:rPr>
            </w:pPr>
            <w:r w:rsidRPr="00397B1C">
              <w:rPr>
                <w:b/>
                <w:bCs/>
                <w:color w:val="EE0000"/>
                <w:sz w:val="22"/>
              </w:rPr>
              <w:t>Random Forest (RF)</w:t>
            </w:r>
          </w:p>
        </w:tc>
        <w:tc>
          <w:tcPr>
            <w:tcW w:w="2422" w:type="dxa"/>
            <w:vAlign w:val="bottom"/>
          </w:tcPr>
          <w:p w14:paraId="5E008584" w14:textId="7E1D5F64" w:rsidR="00C73927" w:rsidRPr="00397B1C" w:rsidRDefault="00C73927" w:rsidP="00C73927">
            <w:pPr>
              <w:rPr>
                <w:color w:val="EE0000"/>
                <w:sz w:val="22"/>
              </w:rPr>
            </w:pPr>
            <w:r w:rsidRPr="00397B1C">
              <w:rPr>
                <w:rFonts w:cs="Times New Roman"/>
                <w:color w:val="EE0000"/>
                <w:sz w:val="22"/>
              </w:rPr>
              <w:t>28.397 ±</w:t>
            </w:r>
            <w:r>
              <w:rPr>
                <w:rFonts w:cs="Times New Roman"/>
                <w:color w:val="EE0000"/>
                <w:sz w:val="22"/>
              </w:rPr>
              <w:t xml:space="preserve"> </w:t>
            </w:r>
            <w:r w:rsidRPr="00397B1C">
              <w:rPr>
                <w:rFonts w:cs="Times New Roman"/>
                <w:color w:val="EE0000"/>
                <w:sz w:val="22"/>
              </w:rPr>
              <w:t>1.3556 (a)</w:t>
            </w:r>
          </w:p>
        </w:tc>
        <w:tc>
          <w:tcPr>
            <w:tcW w:w="2422" w:type="dxa"/>
            <w:vAlign w:val="bottom"/>
          </w:tcPr>
          <w:p w14:paraId="550EF557" w14:textId="47E17770" w:rsidR="00C73927" w:rsidRPr="00397B1C" w:rsidRDefault="00C73927" w:rsidP="00C73927">
            <w:pPr>
              <w:rPr>
                <w:color w:val="EE0000"/>
                <w:sz w:val="22"/>
              </w:rPr>
            </w:pPr>
            <w:r w:rsidRPr="00397B1C">
              <w:rPr>
                <w:rFonts w:cs="Times New Roman"/>
                <w:color w:val="EE0000"/>
                <w:sz w:val="22"/>
              </w:rPr>
              <w:t>32.1355</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3.9910 (a)</w:t>
            </w:r>
          </w:p>
        </w:tc>
        <w:tc>
          <w:tcPr>
            <w:tcW w:w="2512" w:type="dxa"/>
            <w:vAlign w:val="bottom"/>
          </w:tcPr>
          <w:p w14:paraId="39E6E306" w14:textId="2FAFE41F" w:rsidR="00C73927" w:rsidRPr="00397B1C" w:rsidRDefault="00C73927" w:rsidP="00C73927">
            <w:pPr>
              <w:rPr>
                <w:color w:val="EE0000"/>
                <w:sz w:val="22"/>
              </w:rPr>
            </w:pPr>
            <w:r w:rsidRPr="00397B1C">
              <w:rPr>
                <w:rFonts w:cs="Times New Roman"/>
                <w:color w:val="EE0000"/>
                <w:sz w:val="22"/>
              </w:rPr>
              <w:t>0.4966</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0.0290 (a)</w:t>
            </w:r>
          </w:p>
        </w:tc>
      </w:tr>
      <w:tr w:rsidR="00C73927" w:rsidRPr="00C73927" w14:paraId="119B3F94" w14:textId="77777777" w:rsidTr="00793579">
        <w:tc>
          <w:tcPr>
            <w:tcW w:w="2421" w:type="dxa"/>
          </w:tcPr>
          <w:p w14:paraId="23BB4B10" w14:textId="33A06236" w:rsidR="00C73927" w:rsidRPr="00397B1C" w:rsidRDefault="00C73927" w:rsidP="00C73927">
            <w:pPr>
              <w:rPr>
                <w:b/>
                <w:bCs/>
                <w:color w:val="EE0000"/>
                <w:sz w:val="22"/>
              </w:rPr>
            </w:pPr>
            <w:r w:rsidRPr="00397B1C">
              <w:rPr>
                <w:b/>
                <w:bCs/>
                <w:color w:val="EE0000"/>
                <w:sz w:val="22"/>
              </w:rPr>
              <w:t>RF + Residual Kriging</w:t>
            </w:r>
          </w:p>
        </w:tc>
        <w:tc>
          <w:tcPr>
            <w:tcW w:w="2422" w:type="dxa"/>
            <w:vAlign w:val="bottom"/>
          </w:tcPr>
          <w:p w14:paraId="633B67F2" w14:textId="09CF4A56" w:rsidR="00C73927" w:rsidRPr="00397B1C" w:rsidRDefault="00C73927" w:rsidP="00C73927">
            <w:pPr>
              <w:rPr>
                <w:color w:val="EE0000"/>
                <w:sz w:val="22"/>
              </w:rPr>
            </w:pPr>
            <w:r w:rsidRPr="00397B1C">
              <w:rPr>
                <w:rFonts w:cs="Times New Roman"/>
                <w:color w:val="EE0000"/>
                <w:sz w:val="22"/>
              </w:rPr>
              <w:t>28.4923</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1.2536 (a)</w:t>
            </w:r>
          </w:p>
        </w:tc>
        <w:tc>
          <w:tcPr>
            <w:tcW w:w="2422" w:type="dxa"/>
            <w:vAlign w:val="bottom"/>
          </w:tcPr>
          <w:p w14:paraId="790FA586" w14:textId="70638D3F" w:rsidR="00C73927" w:rsidRPr="00397B1C" w:rsidRDefault="00C73927" w:rsidP="00C73927">
            <w:pPr>
              <w:rPr>
                <w:color w:val="EE0000"/>
                <w:sz w:val="22"/>
              </w:rPr>
            </w:pPr>
            <w:r w:rsidRPr="00397B1C">
              <w:rPr>
                <w:rFonts w:cs="Times New Roman"/>
                <w:color w:val="EE0000"/>
                <w:sz w:val="22"/>
              </w:rPr>
              <w:t>32.0510</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3.9068 (a)</w:t>
            </w:r>
          </w:p>
        </w:tc>
        <w:tc>
          <w:tcPr>
            <w:tcW w:w="2512" w:type="dxa"/>
            <w:vAlign w:val="bottom"/>
          </w:tcPr>
          <w:p w14:paraId="684DF41F" w14:textId="362E9915" w:rsidR="00C73927" w:rsidRPr="00397B1C" w:rsidRDefault="00C73927" w:rsidP="00C73927">
            <w:pPr>
              <w:rPr>
                <w:color w:val="EE0000"/>
                <w:sz w:val="22"/>
              </w:rPr>
            </w:pPr>
            <w:r w:rsidRPr="00397B1C">
              <w:rPr>
                <w:rFonts w:cs="Times New Roman"/>
                <w:color w:val="EE0000"/>
                <w:sz w:val="22"/>
              </w:rPr>
              <w:t>0.5036</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0.0301 (a)</w:t>
            </w:r>
          </w:p>
        </w:tc>
      </w:tr>
      <w:tr w:rsidR="00C73927" w:rsidRPr="00C73927" w14:paraId="69DCCEF1" w14:textId="77777777" w:rsidTr="00793579">
        <w:tc>
          <w:tcPr>
            <w:tcW w:w="2421" w:type="dxa"/>
          </w:tcPr>
          <w:p w14:paraId="3AB4325F" w14:textId="782CE40C" w:rsidR="00C73927" w:rsidRPr="00397B1C" w:rsidRDefault="00C73927" w:rsidP="00C73927">
            <w:pPr>
              <w:rPr>
                <w:b/>
                <w:bCs/>
                <w:color w:val="EE0000"/>
                <w:sz w:val="22"/>
              </w:rPr>
            </w:pPr>
            <w:r w:rsidRPr="00397B1C">
              <w:rPr>
                <w:b/>
                <w:bCs/>
                <w:color w:val="EE0000"/>
                <w:sz w:val="22"/>
              </w:rPr>
              <w:t>Reduced RF + Residual Kriging</w:t>
            </w:r>
          </w:p>
        </w:tc>
        <w:tc>
          <w:tcPr>
            <w:tcW w:w="2422" w:type="dxa"/>
            <w:vAlign w:val="bottom"/>
          </w:tcPr>
          <w:p w14:paraId="2DFD351D" w14:textId="79D1A904" w:rsidR="00C73927" w:rsidRPr="00397B1C" w:rsidRDefault="00C73927" w:rsidP="00C73927">
            <w:pPr>
              <w:rPr>
                <w:color w:val="EE0000"/>
                <w:sz w:val="22"/>
              </w:rPr>
            </w:pPr>
            <w:r w:rsidRPr="00397B1C">
              <w:rPr>
                <w:rFonts w:cs="Times New Roman"/>
                <w:color w:val="EE0000"/>
                <w:sz w:val="22"/>
              </w:rPr>
              <w:t>27.8469</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1.0148 (a)</w:t>
            </w:r>
          </w:p>
        </w:tc>
        <w:tc>
          <w:tcPr>
            <w:tcW w:w="2422" w:type="dxa"/>
            <w:vAlign w:val="bottom"/>
          </w:tcPr>
          <w:p w14:paraId="65EB61C4" w14:textId="1BA706F6" w:rsidR="00C73927" w:rsidRPr="00397B1C" w:rsidRDefault="00C73927" w:rsidP="00C73927">
            <w:pPr>
              <w:rPr>
                <w:color w:val="EE0000"/>
                <w:sz w:val="22"/>
              </w:rPr>
            </w:pPr>
            <w:r w:rsidRPr="00397B1C">
              <w:rPr>
                <w:rFonts w:cs="Times New Roman"/>
                <w:color w:val="EE0000"/>
                <w:sz w:val="22"/>
              </w:rPr>
              <w:t>31.1368</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3.5577 (a)</w:t>
            </w:r>
          </w:p>
        </w:tc>
        <w:tc>
          <w:tcPr>
            <w:tcW w:w="2512" w:type="dxa"/>
            <w:vAlign w:val="bottom"/>
          </w:tcPr>
          <w:p w14:paraId="121279F1" w14:textId="517CB444" w:rsidR="00C73927" w:rsidRPr="00397B1C" w:rsidRDefault="00C73927" w:rsidP="00C73927">
            <w:pPr>
              <w:rPr>
                <w:color w:val="EE0000"/>
                <w:sz w:val="22"/>
              </w:rPr>
            </w:pPr>
            <w:r w:rsidRPr="00397B1C">
              <w:rPr>
                <w:rFonts w:cs="Times New Roman"/>
                <w:color w:val="EE0000"/>
                <w:sz w:val="22"/>
              </w:rPr>
              <w:t>0.5386</w:t>
            </w:r>
            <w:r>
              <w:rPr>
                <w:rFonts w:cs="Times New Roman"/>
                <w:color w:val="EE0000"/>
                <w:sz w:val="22"/>
              </w:rPr>
              <w:t xml:space="preserve"> </w:t>
            </w:r>
            <w:r w:rsidRPr="00397B1C">
              <w:rPr>
                <w:rFonts w:cs="Times New Roman"/>
                <w:color w:val="EE0000"/>
                <w:sz w:val="22"/>
              </w:rPr>
              <w:t>±</w:t>
            </w:r>
            <w:r>
              <w:rPr>
                <w:rFonts w:cs="Times New Roman"/>
                <w:color w:val="EE0000"/>
                <w:sz w:val="22"/>
              </w:rPr>
              <w:t xml:space="preserve"> </w:t>
            </w:r>
            <w:r w:rsidRPr="00397B1C">
              <w:rPr>
                <w:rFonts w:cs="Times New Roman"/>
                <w:color w:val="EE0000"/>
                <w:sz w:val="22"/>
              </w:rPr>
              <w:t>0.0411 (a)</w:t>
            </w:r>
          </w:p>
        </w:tc>
      </w:tr>
    </w:tbl>
    <w:p w14:paraId="185C4377" w14:textId="77777777" w:rsidR="003B41E9" w:rsidRPr="00AF223D" w:rsidRDefault="00000000">
      <w:pPr>
        <w:rPr>
          <w:sz w:val="22"/>
        </w:rPr>
      </w:pPr>
      <w:r w:rsidRPr="00AF223D">
        <w:rPr>
          <w:i/>
          <w:iCs/>
          <w:sz w:val="22"/>
        </w:rPr>
        <w:t xml:space="preserve">Values are reported as mean ± standard deviation across Random CV folds. Statistical differences among models were assessed using the Friedman test followed by the </w:t>
      </w:r>
      <w:proofErr w:type="spellStart"/>
      <w:r w:rsidRPr="00AF223D">
        <w:rPr>
          <w:i/>
          <w:iCs/>
          <w:sz w:val="22"/>
        </w:rPr>
        <w:t>Nemenyi</w:t>
      </w:r>
      <w:proofErr w:type="spellEnd"/>
      <w:r w:rsidRPr="00AF223D">
        <w:rPr>
          <w:i/>
          <w:iCs/>
          <w:sz w:val="22"/>
        </w:rPr>
        <w:t xml:space="preserve"> post-hoc test (α = 0.05). Models sharing the same letter are not significantly different.</w:t>
      </w:r>
    </w:p>
    <w:p w14:paraId="37E9B957" w14:textId="0B6CFC8A" w:rsidR="003B41E9" w:rsidRPr="00AF223D" w:rsidRDefault="00FF2A26" w:rsidP="003D6EC3">
      <w:pPr>
        <w:rPr>
          <w:sz w:val="22"/>
        </w:rPr>
      </w:pPr>
      <w:r w:rsidRPr="00AF223D">
        <w:rPr>
          <w:sz w:val="22"/>
        </w:rPr>
        <w:br w:type="page"/>
      </w:r>
      <w:r w:rsidR="003D6EC3" w:rsidRPr="00397B1C">
        <w:rPr>
          <w:color w:val="EE0000"/>
          <w:sz w:val="22"/>
        </w:rPr>
        <w:lastRenderedPageBreak/>
        <w:t>Permutation importance calculated on the held-out outer test folds of the nested cross-validation showed that the spatial coordinates (</w:t>
      </w:r>
      <w:proofErr w:type="spellStart"/>
      <w:r w:rsidR="003D6EC3" w:rsidRPr="00397B1C">
        <w:rPr>
          <w:color w:val="EE0000"/>
          <w:sz w:val="22"/>
        </w:rPr>
        <w:t>Ycoord</w:t>
      </w:r>
      <w:proofErr w:type="spellEnd"/>
      <w:r w:rsidR="003D6EC3" w:rsidRPr="00397B1C">
        <w:rPr>
          <w:color w:val="EE0000"/>
          <w:sz w:val="22"/>
        </w:rPr>
        <w:t xml:space="preserve"> and </w:t>
      </w:r>
      <w:proofErr w:type="spellStart"/>
      <w:r w:rsidR="003D6EC3" w:rsidRPr="00397B1C">
        <w:rPr>
          <w:color w:val="EE0000"/>
          <w:sz w:val="22"/>
        </w:rPr>
        <w:t>Xcoord</w:t>
      </w:r>
      <w:proofErr w:type="spellEnd"/>
      <w:r w:rsidR="003D6EC3" w:rsidRPr="00397B1C">
        <w:rPr>
          <w:color w:val="EE0000"/>
          <w:sz w:val="22"/>
        </w:rPr>
        <w:t>) had the greatest contribution to RF predictive performance</w:t>
      </w:r>
      <w:r w:rsidR="003D6EC3" w:rsidRPr="00397B1C" w:rsidDel="003D6EC3">
        <w:rPr>
          <w:color w:val="EE0000"/>
          <w:sz w:val="22"/>
        </w:rPr>
        <w:t xml:space="preserve"> </w:t>
      </w:r>
      <w:r w:rsidR="003D6EC3" w:rsidRPr="00397B1C">
        <w:rPr>
          <w:b/>
          <w:bCs/>
          <w:sz w:val="22"/>
        </w:rPr>
        <w:t>(</w:t>
      </w:r>
      <w:r w:rsidR="003D6EC3" w:rsidRPr="003D6EC3">
        <w:rPr>
          <w:b/>
          <w:bCs/>
          <w:sz w:val="22"/>
        </w:rPr>
        <w:t>Supplementary Figure 1</w:t>
      </w:r>
      <w:r w:rsidR="003D6EC3" w:rsidRPr="00397B1C">
        <w:rPr>
          <w:b/>
          <w:bCs/>
          <w:sz w:val="22"/>
        </w:rPr>
        <w:t>)</w:t>
      </w:r>
      <w:r w:rsidR="003D6EC3" w:rsidRPr="00AF223D">
        <w:rPr>
          <w:sz w:val="22"/>
        </w:rPr>
        <w:t xml:space="preserve">. </w:t>
      </w:r>
      <w:r w:rsidR="003D6EC3" w:rsidRPr="00397B1C">
        <w:rPr>
          <w:color w:val="EE0000"/>
          <w:sz w:val="22"/>
        </w:rPr>
        <w:t>Among the environmental covariates, precipitation, elevation, and temperature were the most influential predictors, whereas TRI showed a comparatively smaller contribution. Most of the remaining predictors had permutation importance values close to or below zero, indicating little or no consistent contribution to predictive performance. This simplified model performed well in cross-validation (R² = 0.3544 ± 0.0444; RMSE = 0.1429 ± 0.0048; MAE = 0.1112 ± 0.0033</w:t>
      </w:r>
      <w:r w:rsidRPr="00397B1C">
        <w:rPr>
          <w:color w:val="EE0000"/>
          <w:sz w:val="22"/>
        </w:rPr>
        <w:t xml:space="preserve">; </w:t>
      </w:r>
      <w:proofErr w:type="spellStart"/>
      <w:r w:rsidRPr="00397B1C">
        <w:rPr>
          <w:color w:val="EE0000"/>
          <w:sz w:val="22"/>
        </w:rPr>
        <w:t>nRMSE</w:t>
      </w:r>
      <w:proofErr w:type="spellEnd"/>
      <w:r w:rsidRPr="00397B1C">
        <w:rPr>
          <w:color w:val="EE0000"/>
          <w:sz w:val="22"/>
        </w:rPr>
        <w:t xml:space="preserve"> = 27.55 ± 1.01%; </w:t>
      </w:r>
      <w:proofErr w:type="spellStart"/>
      <w:r w:rsidRPr="00397B1C">
        <w:rPr>
          <w:color w:val="EE0000"/>
          <w:sz w:val="22"/>
        </w:rPr>
        <w:t>RelError</w:t>
      </w:r>
      <w:proofErr w:type="spellEnd"/>
      <w:r w:rsidRPr="00397B1C">
        <w:rPr>
          <w:color w:val="EE0000"/>
          <w:sz w:val="22"/>
        </w:rPr>
        <w:t xml:space="preserve"> = 21.45 ± 0.75% and CC = 0.6013 ± 0.0322</w:t>
      </w:r>
      <w:r w:rsidR="003D6EC3" w:rsidRPr="00397B1C">
        <w:rPr>
          <w:color w:val="EE0000"/>
          <w:sz w:val="22"/>
        </w:rPr>
        <w:t xml:space="preserve">). Based on this analysis, a reduced RF+RK model was fitted using </w:t>
      </w:r>
      <w:proofErr w:type="spellStart"/>
      <w:r w:rsidR="003D6EC3" w:rsidRPr="00397B1C">
        <w:rPr>
          <w:color w:val="EE0000"/>
          <w:sz w:val="22"/>
        </w:rPr>
        <w:t>Ycoord</w:t>
      </w:r>
      <w:proofErr w:type="spellEnd"/>
      <w:r w:rsidR="003D6EC3" w:rsidRPr="00397B1C">
        <w:rPr>
          <w:color w:val="EE0000"/>
          <w:sz w:val="22"/>
        </w:rPr>
        <w:t xml:space="preserve">, </w:t>
      </w:r>
      <w:proofErr w:type="spellStart"/>
      <w:r w:rsidR="003D6EC3" w:rsidRPr="00397B1C">
        <w:rPr>
          <w:color w:val="EE0000"/>
          <w:sz w:val="22"/>
        </w:rPr>
        <w:t>Xcoord</w:t>
      </w:r>
      <w:proofErr w:type="spellEnd"/>
      <w:r w:rsidR="003D6EC3" w:rsidRPr="00397B1C">
        <w:rPr>
          <w:color w:val="EE0000"/>
          <w:sz w:val="22"/>
        </w:rPr>
        <w:t xml:space="preserve">, precipitation, elevation, temperature, and TRI. The reduced model achieved the best numerical performance among the evaluated models, with RMSE = 0.1444 ± 0.0050, MAE = 0.1126 ± 0.0035, R² = 0.3398 ± 0.0571, </w:t>
      </w:r>
      <w:proofErr w:type="spellStart"/>
      <w:r w:rsidR="003D6EC3" w:rsidRPr="00397B1C">
        <w:rPr>
          <w:color w:val="EE0000"/>
          <w:sz w:val="22"/>
        </w:rPr>
        <w:t>nRMSE</w:t>
      </w:r>
      <w:proofErr w:type="spellEnd"/>
      <w:r w:rsidR="003D6EC3" w:rsidRPr="00397B1C">
        <w:rPr>
          <w:color w:val="EE0000"/>
          <w:sz w:val="22"/>
        </w:rPr>
        <w:t xml:space="preserve"> = 27.847 ± 1.026%, </w:t>
      </w:r>
      <w:proofErr w:type="spellStart"/>
      <w:r w:rsidR="003D6EC3" w:rsidRPr="00397B1C">
        <w:rPr>
          <w:color w:val="EE0000"/>
          <w:sz w:val="22"/>
        </w:rPr>
        <w:t>RelError</w:t>
      </w:r>
      <w:proofErr w:type="spellEnd"/>
      <w:r w:rsidR="003D6EC3" w:rsidRPr="00397B1C">
        <w:rPr>
          <w:color w:val="EE0000"/>
          <w:sz w:val="22"/>
        </w:rPr>
        <w:t xml:space="preserve"> = 31.137 ± 3.558%, and CCC = 0.5386 ± 0.0411. However, the </w:t>
      </w:r>
      <w:proofErr w:type="spellStart"/>
      <w:r w:rsidR="003D6EC3" w:rsidRPr="00397B1C">
        <w:rPr>
          <w:color w:val="EE0000"/>
          <w:sz w:val="22"/>
        </w:rPr>
        <w:t>Nemenyi</w:t>
      </w:r>
      <w:proofErr w:type="spellEnd"/>
      <w:r w:rsidR="003D6EC3" w:rsidRPr="00397B1C">
        <w:rPr>
          <w:color w:val="EE0000"/>
          <w:sz w:val="22"/>
        </w:rPr>
        <w:t xml:space="preserve"> post-hoc test indicated that the reduced RF+RK model was not statistically different from RF or the full RF+RK model. Overall, the reduced RF+RK model provided the best numerical performance with a more parsimonious set of predictors and was therefore selected for subsequent spatial prediction of </w:t>
      </w:r>
      <w:proofErr w:type="spellStart"/>
      <w:r w:rsidR="003D6EC3" w:rsidRPr="00397B1C">
        <w:rPr>
          <w:color w:val="EE0000"/>
          <w:sz w:val="22"/>
        </w:rPr>
        <w:t>SQIw</w:t>
      </w:r>
      <w:proofErr w:type="spellEnd"/>
      <w:r w:rsidR="003D6EC3" w:rsidRPr="00397B1C">
        <w:rPr>
          <w:color w:val="EE0000"/>
          <w:sz w:val="22"/>
        </w:rPr>
        <w:t>.</w:t>
      </w:r>
    </w:p>
    <w:p w14:paraId="1C781B25" w14:textId="6A1E70EE" w:rsidR="003B41E9" w:rsidRPr="00AF223D" w:rsidRDefault="00000000">
      <w:pPr>
        <w:rPr>
          <w:sz w:val="22"/>
        </w:rPr>
      </w:pPr>
      <w:r w:rsidRPr="00AF223D">
        <w:rPr>
          <w:sz w:val="22"/>
        </w:rPr>
        <w:t xml:space="preserve">The experimental variogram of the </w:t>
      </w:r>
      <w:proofErr w:type="spellStart"/>
      <w:r w:rsidRPr="00AF223D">
        <w:rPr>
          <w:sz w:val="22"/>
        </w:rPr>
        <w:t>SQIw</w:t>
      </w:r>
      <w:proofErr w:type="spellEnd"/>
      <w:r w:rsidRPr="00AF223D">
        <w:rPr>
          <w:sz w:val="22"/>
        </w:rPr>
        <w:t xml:space="preserve"> showed that spatial dependence exists, as the </w:t>
      </w:r>
      <w:proofErr w:type="spellStart"/>
      <w:r w:rsidRPr="00AF223D">
        <w:rPr>
          <w:sz w:val="22"/>
        </w:rPr>
        <w:t>semivariance</w:t>
      </w:r>
      <w:proofErr w:type="spellEnd"/>
      <w:r w:rsidRPr="00AF223D">
        <w:rPr>
          <w:sz w:val="22"/>
        </w:rPr>
        <w:t xml:space="preserve"> increased with distance (</w:t>
      </w:r>
      <w:hyperlink r:id="rId24" w:anchor="bookmark=id.42586jcvg3ar">
        <w:r w:rsidR="003B41E9" w:rsidRPr="00AF223D">
          <w:rPr>
            <w:rStyle w:val="Hipervnculo"/>
            <w:color w:val="auto"/>
            <w:sz w:val="22"/>
          </w:rPr>
          <w:t>Figure 6</w:t>
        </w:r>
      </w:hyperlink>
      <w:r w:rsidRPr="00AF223D">
        <w:rPr>
          <w:sz w:val="22"/>
        </w:rPr>
        <w:t xml:space="preserve">). The residual variogram of the ordinary kriging (OK) model exhibited a reduced spatial structure, indicating that the geostatistical approach captured part of the spatial variability. In contrast, the residuals from the Random Forest (RF) model exhibited a flatter variogram with lower </w:t>
      </w:r>
      <w:proofErr w:type="spellStart"/>
      <w:r w:rsidRPr="00AF223D">
        <w:rPr>
          <w:sz w:val="22"/>
        </w:rPr>
        <w:t>semivariance</w:t>
      </w:r>
      <w:proofErr w:type="spellEnd"/>
      <w:r w:rsidRPr="00AF223D">
        <w:rPr>
          <w:sz w:val="22"/>
        </w:rPr>
        <w:t xml:space="preserve">, suggesting that environmental covariates and spatial coordinates explained a substantial portion of the spatial pattern of the </w:t>
      </w:r>
      <w:proofErr w:type="spellStart"/>
      <w:r w:rsidRPr="00AF223D">
        <w:rPr>
          <w:sz w:val="22"/>
        </w:rPr>
        <w:t>SQIw</w:t>
      </w:r>
      <w:proofErr w:type="spellEnd"/>
      <w:r w:rsidRPr="00AF223D">
        <w:rPr>
          <w:sz w:val="22"/>
        </w:rPr>
        <w:t>. The residual variogram of the RF+RK model exhibited behavior similar to that of the RF residuals, indicating that the additional contribution of residual kriging was limited.</w:t>
      </w:r>
    </w:p>
    <w:tbl>
      <w:tblPr>
        <w:tblStyle w:val="Table"/>
        <w:tblW w:w="5000" w:type="pct"/>
        <w:tblLayout w:type="fixed"/>
        <w:tblLook w:val="0000" w:firstRow="0" w:lastRow="0" w:firstColumn="0" w:lastColumn="0" w:noHBand="0" w:noVBand="0"/>
      </w:tblPr>
      <w:tblGrid>
        <w:gridCol w:w="9777"/>
      </w:tblGrid>
      <w:tr w:rsidR="00AF223D" w:rsidRPr="00AF223D" w14:paraId="2C500D21" w14:textId="77777777">
        <w:tc>
          <w:tcPr>
            <w:tcW w:w="7920" w:type="dxa"/>
          </w:tcPr>
          <w:p w14:paraId="46B61A6E" w14:textId="6F20F16D" w:rsidR="003B41E9" w:rsidRPr="00AF223D" w:rsidRDefault="003D6EC3">
            <w:pPr>
              <w:jc w:val="center"/>
              <w:rPr>
                <w:sz w:val="22"/>
              </w:rPr>
            </w:pPr>
            <w:bookmarkStart w:id="31" w:name="fig-id.42586jcvg3ar"/>
            <w:r>
              <w:rPr>
                <w:noProof/>
              </w:rPr>
              <w:lastRenderedPageBreak/>
              <w:drawing>
                <wp:inline distT="0" distB="0" distL="0" distR="0" wp14:anchorId="0D47F624" wp14:editId="1CBA8907">
                  <wp:extent cx="5606415" cy="33401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06415" cy="3340100"/>
                          </a:xfrm>
                          <a:prstGeom prst="rect">
                            <a:avLst/>
                          </a:prstGeom>
                          <a:noFill/>
                          <a:ln>
                            <a:noFill/>
                          </a:ln>
                        </pic:spPr>
                      </pic:pic>
                    </a:graphicData>
                  </a:graphic>
                </wp:inline>
              </w:drawing>
            </w:r>
          </w:p>
          <w:p w14:paraId="5320CC72" w14:textId="77777777" w:rsidR="003B41E9" w:rsidRPr="00AF223D" w:rsidRDefault="00000000" w:rsidP="00397B1C">
            <w:pPr>
              <w:spacing w:before="200"/>
              <w:rPr>
                <w:sz w:val="22"/>
              </w:rPr>
            </w:pPr>
            <w:r w:rsidRPr="00AF223D">
              <w:rPr>
                <w:sz w:val="22"/>
              </w:rPr>
              <w:t xml:space="preserve">Figure 6: Experimental variograms of </w:t>
            </w:r>
            <w:proofErr w:type="spellStart"/>
            <w:r w:rsidRPr="00AF223D">
              <w:rPr>
                <w:sz w:val="22"/>
              </w:rPr>
              <w:t>SQIw</w:t>
            </w:r>
            <w:proofErr w:type="spellEnd"/>
            <w:r w:rsidRPr="00AF223D">
              <w:rPr>
                <w:sz w:val="22"/>
              </w:rPr>
              <w:t xml:space="preserve"> and residuals from the Ordinary Kriging (OK), Random Forest (RF), and Random Forest with residual kriging (RF+RK) models.</w:t>
            </w:r>
          </w:p>
        </w:tc>
        <w:bookmarkEnd w:id="31"/>
      </w:tr>
    </w:tbl>
    <w:p w14:paraId="16146B0E" w14:textId="5DDAE4BF" w:rsidR="003B41E9" w:rsidRPr="00AF223D" w:rsidRDefault="00000000">
      <w:pPr>
        <w:rPr>
          <w:sz w:val="22"/>
        </w:rPr>
      </w:pPr>
      <w:r w:rsidRPr="00AF223D">
        <w:rPr>
          <w:sz w:val="22"/>
        </w:rPr>
        <w:t xml:space="preserve">The spatial prediction map of the </w:t>
      </w:r>
      <w:proofErr w:type="spellStart"/>
      <w:r w:rsidRPr="00AF223D">
        <w:rPr>
          <w:sz w:val="22"/>
        </w:rPr>
        <w:t>SQIw</w:t>
      </w:r>
      <w:proofErr w:type="spellEnd"/>
      <w:r w:rsidRPr="00AF223D">
        <w:rPr>
          <w:sz w:val="22"/>
        </w:rPr>
        <w:t xml:space="preserve"> was generated</w:t>
      </w:r>
      <w:r w:rsidR="003D6EC3">
        <w:rPr>
          <w:sz w:val="22"/>
        </w:rPr>
        <w:t>,</w:t>
      </w:r>
      <w:r w:rsidRPr="00AF223D">
        <w:rPr>
          <w:sz w:val="22"/>
        </w:rPr>
        <w:t xml:space="preserve"> </w:t>
      </w:r>
      <w:r w:rsidR="003D6EC3" w:rsidRPr="00397B1C">
        <w:rPr>
          <w:color w:val="EE0000"/>
          <w:sz w:val="22"/>
        </w:rPr>
        <w:t>using the reduced RF+RK model refitted on the complete dataset</w:t>
      </w:r>
      <w:r w:rsidRPr="00397B1C">
        <w:rPr>
          <w:color w:val="EE0000"/>
          <w:sz w:val="22"/>
        </w:rPr>
        <w:t>,</w:t>
      </w:r>
      <w:r w:rsidRPr="00AF223D">
        <w:rPr>
          <w:sz w:val="22"/>
        </w:rPr>
        <w:t xml:space="preserve"> revealing clear spatial variability across the study area. An uncertainty map was also developed by combining the prediction variability from the random forest with the kriging variance of the residuals, which allowed for the identification of areas with the highest prediction uncertainty (</w:t>
      </w:r>
      <w:hyperlink w:anchor="fig-kix.lt8c88ummdf2">
        <w:r w:rsidR="003B41E9" w:rsidRPr="00AF223D">
          <w:rPr>
            <w:rStyle w:val="Hipervnculo"/>
            <w:color w:val="auto"/>
            <w:sz w:val="22"/>
          </w:rPr>
          <w:t>Figure 7</w:t>
        </w:r>
      </w:hyperlink>
      <w:r w:rsidRPr="00AF223D">
        <w:rPr>
          <w:sz w:val="22"/>
        </w:rPr>
        <w:t>).</w:t>
      </w:r>
    </w:p>
    <w:tbl>
      <w:tblPr>
        <w:tblStyle w:val="Table"/>
        <w:tblW w:w="5000" w:type="pct"/>
        <w:tblLayout w:type="fixed"/>
        <w:tblLook w:val="0000" w:firstRow="0" w:lastRow="0" w:firstColumn="0" w:lastColumn="0" w:noHBand="0" w:noVBand="0"/>
      </w:tblPr>
      <w:tblGrid>
        <w:gridCol w:w="9777"/>
      </w:tblGrid>
      <w:tr w:rsidR="00AF223D" w:rsidRPr="00AF223D" w14:paraId="4889ADFD" w14:textId="77777777">
        <w:tc>
          <w:tcPr>
            <w:tcW w:w="7920" w:type="dxa"/>
          </w:tcPr>
          <w:p w14:paraId="2C8203DB" w14:textId="09F8AFE3" w:rsidR="00A42361" w:rsidRPr="00A42361" w:rsidRDefault="00A42361" w:rsidP="00A42361">
            <w:pPr>
              <w:jc w:val="center"/>
              <w:rPr>
                <w:noProof/>
                <w:sz w:val="22"/>
                <w:lang w:val="es-PE"/>
              </w:rPr>
            </w:pPr>
            <w:bookmarkStart w:id="32" w:name="fig-kix.lt8c88ummdf2"/>
            <w:r w:rsidRPr="00A42361">
              <w:rPr>
                <w:noProof/>
                <w:sz w:val="22"/>
                <w:lang w:val="es-PE"/>
              </w:rPr>
              <w:drawing>
                <wp:inline distT="0" distB="0" distL="0" distR="0" wp14:anchorId="224AD960" wp14:editId="2BF33392">
                  <wp:extent cx="6071235" cy="3200400"/>
                  <wp:effectExtent l="0" t="0" r="5715" b="0"/>
                  <wp:docPr id="4709054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1235" cy="3200400"/>
                          </a:xfrm>
                          <a:prstGeom prst="rect">
                            <a:avLst/>
                          </a:prstGeom>
                          <a:noFill/>
                          <a:ln>
                            <a:noFill/>
                          </a:ln>
                        </pic:spPr>
                      </pic:pic>
                    </a:graphicData>
                  </a:graphic>
                </wp:inline>
              </w:drawing>
            </w:r>
          </w:p>
          <w:p w14:paraId="618F10F0" w14:textId="77777777" w:rsidR="003B41E9" w:rsidRPr="00AF223D" w:rsidRDefault="00000000">
            <w:pPr>
              <w:spacing w:before="200"/>
              <w:jc w:val="left"/>
              <w:rPr>
                <w:sz w:val="22"/>
              </w:rPr>
            </w:pPr>
            <w:r w:rsidRPr="00AF223D">
              <w:rPr>
                <w:sz w:val="22"/>
              </w:rPr>
              <w:lastRenderedPageBreak/>
              <w:t xml:space="preserve">Figure 7: </w:t>
            </w:r>
            <w:r w:rsidRPr="00AF223D">
              <w:rPr>
                <w:i/>
                <w:iCs/>
                <w:sz w:val="22"/>
              </w:rPr>
              <w:t>Spatial prediction of the Soil Quality Index (</w:t>
            </w:r>
            <w:proofErr w:type="spellStart"/>
            <w:r w:rsidRPr="00AF223D">
              <w:rPr>
                <w:i/>
                <w:iCs/>
                <w:sz w:val="22"/>
              </w:rPr>
              <w:t>SQIw</w:t>
            </w:r>
            <w:proofErr w:type="spellEnd"/>
            <w:r w:rsidRPr="00AF223D">
              <w:rPr>
                <w:i/>
                <w:iCs/>
                <w:sz w:val="22"/>
              </w:rPr>
              <w:t xml:space="preserve">) in the agricultural area of </w:t>
            </w:r>
            <w:proofErr w:type="spellStart"/>
            <w:r w:rsidRPr="00AF223D">
              <w:rPr>
                <w:i/>
                <w:iCs/>
                <w:sz w:val="22"/>
              </w:rPr>
              <w:t>Morropón</w:t>
            </w:r>
            <w:proofErr w:type="spellEnd"/>
            <w:r w:rsidRPr="00AF223D">
              <w:rPr>
                <w:i/>
                <w:iCs/>
                <w:sz w:val="22"/>
              </w:rPr>
              <w:t xml:space="preserve"> Province, Piura, Peru. (a) Spatial distribution of </w:t>
            </w:r>
            <w:proofErr w:type="spellStart"/>
            <w:r w:rsidRPr="00AF223D">
              <w:rPr>
                <w:i/>
                <w:iCs/>
                <w:sz w:val="22"/>
              </w:rPr>
              <w:t>SQIw</w:t>
            </w:r>
            <w:proofErr w:type="spellEnd"/>
            <w:r w:rsidRPr="00AF223D">
              <w:rPr>
                <w:i/>
                <w:iCs/>
                <w:sz w:val="22"/>
              </w:rPr>
              <w:t xml:space="preserve"> predicted using the RF+RK model. (b) Spatial prediction uncertainty.</w:t>
            </w:r>
          </w:p>
        </w:tc>
        <w:bookmarkEnd w:id="32"/>
      </w:tr>
    </w:tbl>
    <w:p w14:paraId="64E4A4D7" w14:textId="5593E073" w:rsidR="00F401FF" w:rsidRPr="00397B1C" w:rsidRDefault="00000000">
      <w:pPr>
        <w:rPr>
          <w:color w:val="EE0000"/>
          <w:sz w:val="22"/>
        </w:rPr>
      </w:pPr>
      <w:r w:rsidRPr="00397B1C">
        <w:rPr>
          <w:color w:val="EE0000"/>
          <w:sz w:val="22"/>
        </w:rPr>
        <w:lastRenderedPageBreak/>
        <w:t>The spatial distribution of the Soil Quality Index (</w:t>
      </w:r>
      <w:proofErr w:type="spellStart"/>
      <w:r w:rsidRPr="00397B1C">
        <w:rPr>
          <w:color w:val="EE0000"/>
          <w:sz w:val="22"/>
        </w:rPr>
        <w:t>SQIw</w:t>
      </w:r>
      <w:proofErr w:type="spellEnd"/>
      <w:r w:rsidRPr="00397B1C">
        <w:rPr>
          <w:color w:val="EE0000"/>
          <w:sz w:val="22"/>
        </w:rPr>
        <w:t xml:space="preserve">) in the province of </w:t>
      </w:r>
      <w:proofErr w:type="spellStart"/>
      <w:r w:rsidRPr="00397B1C">
        <w:rPr>
          <w:color w:val="EE0000"/>
          <w:sz w:val="22"/>
        </w:rPr>
        <w:t>Morropón’s</w:t>
      </w:r>
      <w:proofErr w:type="spellEnd"/>
      <w:r w:rsidRPr="00397B1C">
        <w:rPr>
          <w:color w:val="EE0000"/>
          <w:sz w:val="22"/>
        </w:rPr>
        <w:t xml:space="preserve"> agricultural area (</w:t>
      </w:r>
      <w:hyperlink r:id="rId27" w:anchor="bookmark=id.7dy3za3lxshi">
        <w:r w:rsidR="00F401FF" w:rsidRPr="00397B1C">
          <w:rPr>
            <w:rStyle w:val="Hipervnculo"/>
            <w:color w:val="EE0000"/>
            <w:sz w:val="22"/>
          </w:rPr>
          <w:t>Table 5</w:t>
        </w:r>
      </w:hyperlink>
      <w:r w:rsidRPr="00397B1C">
        <w:rPr>
          <w:color w:val="EE0000"/>
          <w:sz w:val="22"/>
        </w:rPr>
        <w:t xml:space="preserve">) shows marked spatial heterogeneity. At the provincial level (93,886.17 ha), the low and moderate classes predominate, covering </w:t>
      </w:r>
      <w:r w:rsidR="009106F8" w:rsidRPr="00397B1C">
        <w:rPr>
          <w:color w:val="EE0000"/>
          <w:sz w:val="22"/>
        </w:rPr>
        <w:t>47,061.67 ha (50.12%)</w:t>
      </w:r>
      <w:r w:rsidRPr="00397B1C">
        <w:rPr>
          <w:color w:val="EE0000"/>
          <w:sz w:val="22"/>
        </w:rPr>
        <w:t xml:space="preserve">, with </w:t>
      </w:r>
      <w:r w:rsidR="009106F8" w:rsidRPr="00397B1C">
        <w:rPr>
          <w:color w:val="EE0000"/>
          <w:sz w:val="22"/>
        </w:rPr>
        <w:t>24,223.94 ha (25.80%)</w:t>
      </w:r>
      <w:r w:rsidRPr="00397B1C">
        <w:rPr>
          <w:color w:val="EE0000"/>
          <w:sz w:val="22"/>
        </w:rPr>
        <w:t xml:space="preserve"> classified as low and </w:t>
      </w:r>
      <w:r w:rsidR="009106F8" w:rsidRPr="00397B1C">
        <w:rPr>
          <w:color w:val="EE0000"/>
          <w:sz w:val="22"/>
        </w:rPr>
        <w:t>22,837.73 ha (24.32%)</w:t>
      </w:r>
      <w:r w:rsidRPr="00397B1C">
        <w:rPr>
          <w:color w:val="EE0000"/>
          <w:sz w:val="22"/>
        </w:rPr>
        <w:t xml:space="preserve"> as moderate. The high class represents </w:t>
      </w:r>
      <w:r w:rsidR="009106F8" w:rsidRPr="00397B1C">
        <w:rPr>
          <w:color w:val="EE0000"/>
          <w:sz w:val="22"/>
        </w:rPr>
        <w:t>43,758.86 ha (46.61%)</w:t>
      </w:r>
      <w:r w:rsidRPr="00397B1C">
        <w:rPr>
          <w:color w:val="EE0000"/>
          <w:sz w:val="22"/>
        </w:rPr>
        <w:t xml:space="preserve">, while the very high class covers </w:t>
      </w:r>
      <w:r w:rsidR="009106F8" w:rsidRPr="00397B1C">
        <w:rPr>
          <w:color w:val="EE0000"/>
          <w:sz w:val="22"/>
        </w:rPr>
        <w:t>2,170.74 ha (2.31%)</w:t>
      </w:r>
      <w:r w:rsidRPr="00397B1C">
        <w:rPr>
          <w:color w:val="EE0000"/>
          <w:sz w:val="22"/>
        </w:rPr>
        <w:t>. The very low category is marginal (</w:t>
      </w:r>
      <w:r w:rsidR="009106F8" w:rsidRPr="00397B1C">
        <w:rPr>
          <w:color w:val="EE0000"/>
          <w:sz w:val="22"/>
        </w:rPr>
        <w:t>94.90 ha; 0.95%</w:t>
      </w:r>
      <w:r w:rsidRPr="00397B1C">
        <w:rPr>
          <w:color w:val="EE0000"/>
          <w:sz w:val="22"/>
        </w:rPr>
        <w:t xml:space="preserve">) and is mainly concentrated in the </w:t>
      </w:r>
      <w:proofErr w:type="spellStart"/>
      <w:r w:rsidRPr="00397B1C">
        <w:rPr>
          <w:color w:val="EE0000"/>
          <w:sz w:val="22"/>
        </w:rPr>
        <w:t>Chulucanas</w:t>
      </w:r>
      <w:proofErr w:type="spellEnd"/>
      <w:r w:rsidRPr="00397B1C">
        <w:rPr>
          <w:color w:val="EE0000"/>
          <w:sz w:val="22"/>
        </w:rPr>
        <w:t xml:space="preserve"> district. At the district level, </w:t>
      </w:r>
      <w:proofErr w:type="spellStart"/>
      <w:r w:rsidRPr="00397B1C">
        <w:rPr>
          <w:color w:val="EE0000"/>
          <w:sz w:val="22"/>
        </w:rPr>
        <w:t>Chulucanas</w:t>
      </w:r>
      <w:proofErr w:type="spellEnd"/>
      <w:r w:rsidRPr="00397B1C">
        <w:rPr>
          <w:color w:val="EE0000"/>
          <w:sz w:val="22"/>
        </w:rPr>
        <w:t xml:space="preserve"> has the largest agricultural area (24,896.23 ha) and shows internal variability across all classes. Chalaco (12,660.15 ha) and </w:t>
      </w:r>
      <w:proofErr w:type="spellStart"/>
      <w:r w:rsidRPr="00397B1C">
        <w:rPr>
          <w:color w:val="EE0000"/>
          <w:sz w:val="22"/>
        </w:rPr>
        <w:t>Yamango</w:t>
      </w:r>
      <w:proofErr w:type="spellEnd"/>
      <w:r w:rsidRPr="00397B1C">
        <w:rPr>
          <w:color w:val="EE0000"/>
          <w:sz w:val="22"/>
        </w:rPr>
        <w:t xml:space="preserve"> (12,748.11 ha) have high proportions of the high class, with </w:t>
      </w:r>
      <w:r w:rsidR="009106F8" w:rsidRPr="00397B1C">
        <w:rPr>
          <w:color w:val="EE0000"/>
          <w:sz w:val="22"/>
        </w:rPr>
        <w:t>11,954.53</w:t>
      </w:r>
      <w:r w:rsidRPr="00397B1C">
        <w:rPr>
          <w:color w:val="EE0000"/>
          <w:sz w:val="22"/>
        </w:rPr>
        <w:t xml:space="preserve">ha and </w:t>
      </w:r>
      <w:r w:rsidR="009106F8" w:rsidRPr="00397B1C">
        <w:rPr>
          <w:color w:val="EE0000"/>
          <w:sz w:val="22"/>
        </w:rPr>
        <w:t>9,334.42</w:t>
      </w:r>
      <w:r w:rsidRPr="00397B1C">
        <w:rPr>
          <w:color w:val="EE0000"/>
          <w:sz w:val="22"/>
        </w:rPr>
        <w:t xml:space="preserve"> ha, respectively. Meanwhile, La </w:t>
      </w:r>
      <w:proofErr w:type="spellStart"/>
      <w:r w:rsidRPr="00397B1C">
        <w:rPr>
          <w:color w:val="EE0000"/>
          <w:sz w:val="22"/>
        </w:rPr>
        <w:t>Matanza</w:t>
      </w:r>
      <w:proofErr w:type="spellEnd"/>
      <w:r w:rsidRPr="00397B1C">
        <w:rPr>
          <w:color w:val="EE0000"/>
          <w:sz w:val="22"/>
        </w:rPr>
        <w:t xml:space="preserve"> (10,384.32 ha) has a considerable amount of low-quality soil, with </w:t>
      </w:r>
      <w:r w:rsidR="009106F8" w:rsidRPr="00397B1C">
        <w:rPr>
          <w:color w:val="EE0000"/>
          <w:sz w:val="22"/>
        </w:rPr>
        <w:t>5,593.18</w:t>
      </w:r>
      <w:r w:rsidRPr="00397B1C">
        <w:rPr>
          <w:color w:val="EE0000"/>
          <w:sz w:val="22"/>
        </w:rPr>
        <w:t xml:space="preserve">ha. Santo Domingo (10,281.37 ha) is characterized by a strong predominance of the high class, with </w:t>
      </w:r>
      <w:r w:rsidR="009106F8" w:rsidRPr="00397B1C">
        <w:rPr>
          <w:color w:val="EE0000"/>
          <w:sz w:val="22"/>
        </w:rPr>
        <w:t>10,133.21</w:t>
      </w:r>
      <w:r w:rsidRPr="00397B1C">
        <w:rPr>
          <w:color w:val="EE0000"/>
          <w:sz w:val="22"/>
        </w:rPr>
        <w:t>ha.</w:t>
      </w:r>
    </w:p>
    <w:p w14:paraId="3210DB85" w14:textId="77777777" w:rsidR="00F401FF" w:rsidRPr="00AF223D" w:rsidRDefault="00F401FF">
      <w:pPr>
        <w:spacing w:before="0" w:after="200" w:line="276" w:lineRule="auto"/>
        <w:jc w:val="left"/>
        <w:rPr>
          <w:sz w:val="22"/>
        </w:rPr>
      </w:pPr>
      <w:r w:rsidRPr="00AF223D">
        <w:rPr>
          <w:sz w:val="22"/>
        </w:rPr>
        <w:br w:type="page"/>
      </w:r>
    </w:p>
    <w:tbl>
      <w:tblPr>
        <w:tblStyle w:val="Table"/>
        <w:tblW w:w="5000" w:type="pct"/>
        <w:tblLayout w:type="fixed"/>
        <w:tblLook w:val="0000" w:firstRow="0" w:lastRow="0" w:firstColumn="0" w:lastColumn="0" w:noHBand="0" w:noVBand="0"/>
      </w:tblPr>
      <w:tblGrid>
        <w:gridCol w:w="9777"/>
      </w:tblGrid>
      <w:tr w:rsidR="00AF223D" w:rsidRPr="00AF223D" w14:paraId="7C5F4FA4" w14:textId="77777777" w:rsidTr="00F401FF">
        <w:tc>
          <w:tcPr>
            <w:tcW w:w="9777" w:type="dxa"/>
          </w:tcPr>
          <w:p w14:paraId="3294B575" w14:textId="42CB9C1B" w:rsidR="003B41E9" w:rsidRPr="00AF223D" w:rsidRDefault="00000000">
            <w:pPr>
              <w:spacing w:before="200"/>
              <w:jc w:val="left"/>
              <w:rPr>
                <w:sz w:val="22"/>
              </w:rPr>
            </w:pPr>
            <w:bookmarkStart w:id="33" w:name="tbl-id.7dy3za3lxshi"/>
            <w:r w:rsidRPr="00AF223D">
              <w:rPr>
                <w:sz w:val="22"/>
              </w:rPr>
              <w:lastRenderedPageBreak/>
              <w:t>Table </w:t>
            </w:r>
            <w:r w:rsidR="005B24A4">
              <w:rPr>
                <w:sz w:val="22"/>
              </w:rPr>
              <w:t>5</w:t>
            </w:r>
            <w:r w:rsidRPr="00AF223D">
              <w:rPr>
                <w:sz w:val="22"/>
              </w:rPr>
              <w:t xml:space="preserve">: </w:t>
            </w:r>
            <w:r w:rsidRPr="00AF223D">
              <w:rPr>
                <w:i/>
                <w:iCs/>
                <w:sz w:val="22"/>
              </w:rPr>
              <w:t>Areal distribution (ha) of Soil Quality Index (</w:t>
            </w:r>
            <w:proofErr w:type="spellStart"/>
            <w:r w:rsidRPr="00AF223D">
              <w:rPr>
                <w:i/>
                <w:iCs/>
                <w:sz w:val="22"/>
              </w:rPr>
              <w:t>SQIw</w:t>
            </w:r>
            <w:proofErr w:type="spellEnd"/>
            <w:r w:rsidRPr="00AF223D">
              <w:rPr>
                <w:i/>
                <w:iCs/>
                <w:sz w:val="22"/>
              </w:rPr>
              <w:t xml:space="preserve">) classes within the agricultural area of each district in </w:t>
            </w:r>
            <w:proofErr w:type="spellStart"/>
            <w:r w:rsidRPr="00AF223D">
              <w:rPr>
                <w:i/>
                <w:iCs/>
                <w:sz w:val="22"/>
              </w:rPr>
              <w:t>Morropón</w:t>
            </w:r>
            <w:proofErr w:type="spellEnd"/>
            <w:r w:rsidRPr="00AF223D">
              <w:rPr>
                <w:i/>
                <w:iCs/>
                <w:sz w:val="22"/>
              </w:rPr>
              <w:t xml:space="preserve"> Province, Piura, Peru.</w:t>
            </w:r>
          </w:p>
          <w:tbl>
            <w:tblPr>
              <w:tblStyle w:val="Table"/>
              <w:tblW w:w="5000" w:type="pct"/>
              <w:tblLayout w:type="fixed"/>
              <w:tblLook w:val="0020" w:firstRow="1" w:lastRow="0" w:firstColumn="0" w:lastColumn="0" w:noHBand="0" w:noVBand="0"/>
            </w:tblPr>
            <w:tblGrid>
              <w:gridCol w:w="1359"/>
              <w:gridCol w:w="1358"/>
              <w:gridCol w:w="1358"/>
              <w:gridCol w:w="1358"/>
              <w:gridCol w:w="1358"/>
              <w:gridCol w:w="1358"/>
              <w:gridCol w:w="1412"/>
            </w:tblGrid>
            <w:tr w:rsidR="005D354E" w:rsidRPr="00AF223D" w14:paraId="3EF8CCEC" w14:textId="77777777" w:rsidTr="00086591">
              <w:trPr>
                <w:cnfStyle w:val="100000000000" w:firstRow="1" w:lastRow="0" w:firstColumn="0" w:lastColumn="0" w:oddVBand="0" w:evenVBand="0" w:oddHBand="0" w:evenHBand="0" w:firstRowFirstColumn="0" w:firstRowLastColumn="0" w:lastRowFirstColumn="0" w:lastRowLastColumn="0"/>
                <w:tblHeader/>
              </w:trPr>
              <w:tc>
                <w:tcPr>
                  <w:tcW w:w="1359" w:type="dxa"/>
                </w:tcPr>
                <w:p w14:paraId="0E020BD2" w14:textId="77777777" w:rsidR="005D354E" w:rsidRPr="00AF223D" w:rsidRDefault="005D354E">
                  <w:pPr>
                    <w:jc w:val="center"/>
                    <w:rPr>
                      <w:sz w:val="22"/>
                    </w:rPr>
                  </w:pPr>
                  <w:r w:rsidRPr="00AF223D">
                    <w:rPr>
                      <w:bCs/>
                      <w:sz w:val="22"/>
                    </w:rPr>
                    <w:t>District</w:t>
                  </w:r>
                </w:p>
              </w:tc>
              <w:tc>
                <w:tcPr>
                  <w:tcW w:w="6790" w:type="dxa"/>
                  <w:gridSpan w:val="5"/>
                </w:tcPr>
                <w:p w14:paraId="65F3A6E4" w14:textId="454118F3" w:rsidR="005D354E" w:rsidRPr="00AF223D" w:rsidRDefault="005D354E" w:rsidP="005D354E">
                  <w:pPr>
                    <w:jc w:val="center"/>
                    <w:rPr>
                      <w:sz w:val="22"/>
                    </w:rPr>
                  </w:pPr>
                  <w:r w:rsidRPr="00AF223D">
                    <w:rPr>
                      <w:bCs/>
                      <w:sz w:val="22"/>
                    </w:rPr>
                    <w:t xml:space="preserve">Classification </w:t>
                  </w:r>
                  <w:proofErr w:type="spellStart"/>
                  <w:r w:rsidRPr="00AF223D">
                    <w:rPr>
                      <w:bCs/>
                      <w:sz w:val="22"/>
                    </w:rPr>
                    <w:t>SQIw</w:t>
                  </w:r>
                  <w:proofErr w:type="spellEnd"/>
                </w:p>
              </w:tc>
              <w:tc>
                <w:tcPr>
                  <w:tcW w:w="1412" w:type="dxa"/>
                </w:tcPr>
                <w:p w14:paraId="4F565B49" w14:textId="77777777" w:rsidR="005D354E" w:rsidRPr="00AF223D" w:rsidRDefault="005D354E">
                  <w:pPr>
                    <w:jc w:val="center"/>
                    <w:rPr>
                      <w:sz w:val="22"/>
                    </w:rPr>
                  </w:pPr>
                  <w:r w:rsidRPr="00AF223D">
                    <w:rPr>
                      <w:bCs/>
                      <w:sz w:val="22"/>
                    </w:rPr>
                    <w:t>Total (ha)</w:t>
                  </w:r>
                </w:p>
              </w:tc>
            </w:tr>
            <w:tr w:rsidR="00AF223D" w:rsidRPr="00AF223D" w14:paraId="75F1C394" w14:textId="77777777" w:rsidTr="005D354E">
              <w:tc>
                <w:tcPr>
                  <w:tcW w:w="1359" w:type="dxa"/>
                </w:tcPr>
                <w:p w14:paraId="69DA458F" w14:textId="77777777" w:rsidR="003B41E9" w:rsidRPr="00AF223D" w:rsidRDefault="003B41E9">
                  <w:pPr>
                    <w:rPr>
                      <w:sz w:val="22"/>
                    </w:rPr>
                  </w:pPr>
                </w:p>
              </w:tc>
              <w:tc>
                <w:tcPr>
                  <w:tcW w:w="1358" w:type="dxa"/>
                </w:tcPr>
                <w:p w14:paraId="75AB7841" w14:textId="77777777" w:rsidR="003B41E9" w:rsidRPr="00AF223D" w:rsidRDefault="00000000">
                  <w:pPr>
                    <w:jc w:val="center"/>
                    <w:rPr>
                      <w:sz w:val="22"/>
                    </w:rPr>
                  </w:pPr>
                  <w:r w:rsidRPr="00AF223D">
                    <w:rPr>
                      <w:b/>
                      <w:bCs/>
                      <w:sz w:val="22"/>
                    </w:rPr>
                    <w:t>Very Low</w:t>
                  </w:r>
                </w:p>
              </w:tc>
              <w:tc>
                <w:tcPr>
                  <w:tcW w:w="1358" w:type="dxa"/>
                </w:tcPr>
                <w:p w14:paraId="4E3158BD" w14:textId="77777777" w:rsidR="003B41E9" w:rsidRPr="00AF223D" w:rsidRDefault="00000000">
                  <w:pPr>
                    <w:jc w:val="center"/>
                    <w:rPr>
                      <w:sz w:val="22"/>
                    </w:rPr>
                  </w:pPr>
                  <w:r w:rsidRPr="00AF223D">
                    <w:rPr>
                      <w:b/>
                      <w:bCs/>
                      <w:sz w:val="22"/>
                    </w:rPr>
                    <w:t>Low</w:t>
                  </w:r>
                </w:p>
              </w:tc>
              <w:tc>
                <w:tcPr>
                  <w:tcW w:w="1358" w:type="dxa"/>
                </w:tcPr>
                <w:p w14:paraId="56261FB4" w14:textId="77777777" w:rsidR="003B41E9" w:rsidRPr="00AF223D" w:rsidRDefault="00000000">
                  <w:pPr>
                    <w:jc w:val="center"/>
                    <w:rPr>
                      <w:sz w:val="22"/>
                    </w:rPr>
                  </w:pPr>
                  <w:r w:rsidRPr="00AF223D">
                    <w:rPr>
                      <w:b/>
                      <w:bCs/>
                      <w:sz w:val="22"/>
                    </w:rPr>
                    <w:t>Moderate</w:t>
                  </w:r>
                </w:p>
              </w:tc>
              <w:tc>
                <w:tcPr>
                  <w:tcW w:w="1358" w:type="dxa"/>
                </w:tcPr>
                <w:p w14:paraId="0F9B1C74" w14:textId="77777777" w:rsidR="003B41E9" w:rsidRPr="00AF223D" w:rsidRDefault="00000000">
                  <w:pPr>
                    <w:jc w:val="center"/>
                    <w:rPr>
                      <w:sz w:val="22"/>
                    </w:rPr>
                  </w:pPr>
                  <w:r w:rsidRPr="00AF223D">
                    <w:rPr>
                      <w:b/>
                      <w:bCs/>
                      <w:sz w:val="22"/>
                    </w:rPr>
                    <w:t>High</w:t>
                  </w:r>
                </w:p>
              </w:tc>
              <w:tc>
                <w:tcPr>
                  <w:tcW w:w="1358" w:type="dxa"/>
                </w:tcPr>
                <w:p w14:paraId="4C9F3C5F" w14:textId="77777777" w:rsidR="003B41E9" w:rsidRPr="00AF223D" w:rsidRDefault="00000000">
                  <w:pPr>
                    <w:jc w:val="center"/>
                    <w:rPr>
                      <w:sz w:val="22"/>
                    </w:rPr>
                  </w:pPr>
                  <w:r w:rsidRPr="00AF223D">
                    <w:rPr>
                      <w:b/>
                      <w:bCs/>
                      <w:sz w:val="22"/>
                    </w:rPr>
                    <w:t>Very High</w:t>
                  </w:r>
                </w:p>
              </w:tc>
              <w:tc>
                <w:tcPr>
                  <w:tcW w:w="1412" w:type="dxa"/>
                </w:tcPr>
                <w:p w14:paraId="13DBE520" w14:textId="77777777" w:rsidR="003B41E9" w:rsidRPr="00AF223D" w:rsidRDefault="003B41E9">
                  <w:pPr>
                    <w:rPr>
                      <w:sz w:val="22"/>
                    </w:rPr>
                  </w:pPr>
                </w:p>
              </w:tc>
            </w:tr>
            <w:tr w:rsidR="005D354E" w:rsidRPr="00AF223D" w14:paraId="1B2D5886" w14:textId="77777777" w:rsidTr="005D354E">
              <w:tc>
                <w:tcPr>
                  <w:tcW w:w="1359" w:type="dxa"/>
                </w:tcPr>
                <w:p w14:paraId="56E9057E" w14:textId="77777777" w:rsidR="005D354E" w:rsidRPr="00AF223D" w:rsidRDefault="005D354E" w:rsidP="005D354E">
                  <w:pPr>
                    <w:jc w:val="center"/>
                    <w:rPr>
                      <w:sz w:val="22"/>
                    </w:rPr>
                  </w:pPr>
                  <w:r w:rsidRPr="00AF223D">
                    <w:rPr>
                      <w:sz w:val="22"/>
                    </w:rPr>
                    <w:t>Buenos Aires</w:t>
                  </w:r>
                </w:p>
              </w:tc>
              <w:tc>
                <w:tcPr>
                  <w:tcW w:w="1358" w:type="dxa"/>
                </w:tcPr>
                <w:p w14:paraId="44848F03" w14:textId="3443A007"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Pr>
                <w:p w14:paraId="2C6F3092" w14:textId="5B4F0EA6" w:rsidR="005D354E" w:rsidRPr="00397B1C" w:rsidRDefault="005D354E" w:rsidP="005D354E">
                  <w:pPr>
                    <w:jc w:val="center"/>
                    <w:rPr>
                      <w:rFonts w:cs="Times New Roman"/>
                      <w:color w:val="EE0000"/>
                      <w:sz w:val="22"/>
                    </w:rPr>
                  </w:pPr>
                  <w:r w:rsidRPr="00397B1C">
                    <w:rPr>
                      <w:rFonts w:cs="Times New Roman"/>
                      <w:color w:val="EE0000"/>
                      <w:sz w:val="22"/>
                    </w:rPr>
                    <w:t>677.894</w:t>
                  </w:r>
                </w:p>
              </w:tc>
              <w:tc>
                <w:tcPr>
                  <w:tcW w:w="1358" w:type="dxa"/>
                </w:tcPr>
                <w:p w14:paraId="40A719A5" w14:textId="379E75C5" w:rsidR="005D354E" w:rsidRPr="00397B1C" w:rsidRDefault="005D354E" w:rsidP="005D354E">
                  <w:pPr>
                    <w:jc w:val="center"/>
                    <w:rPr>
                      <w:rFonts w:cs="Times New Roman"/>
                      <w:color w:val="EE0000"/>
                      <w:sz w:val="22"/>
                    </w:rPr>
                  </w:pPr>
                  <w:r w:rsidRPr="00397B1C">
                    <w:rPr>
                      <w:rFonts w:cs="Times New Roman"/>
                      <w:color w:val="EE0000"/>
                      <w:sz w:val="22"/>
                    </w:rPr>
                    <w:t>3,735.906</w:t>
                  </w:r>
                </w:p>
              </w:tc>
              <w:tc>
                <w:tcPr>
                  <w:tcW w:w="1358" w:type="dxa"/>
                </w:tcPr>
                <w:p w14:paraId="658FA927" w14:textId="29B46BC5" w:rsidR="005D354E" w:rsidRPr="00397B1C" w:rsidRDefault="005D354E" w:rsidP="005D354E">
                  <w:pPr>
                    <w:jc w:val="center"/>
                    <w:rPr>
                      <w:rFonts w:cs="Times New Roman"/>
                      <w:color w:val="EE0000"/>
                      <w:sz w:val="22"/>
                    </w:rPr>
                  </w:pPr>
                  <w:r w:rsidRPr="00397B1C">
                    <w:rPr>
                      <w:rFonts w:cs="Times New Roman"/>
                      <w:color w:val="EE0000"/>
                      <w:sz w:val="22"/>
                    </w:rPr>
                    <w:t>235.616</w:t>
                  </w:r>
                </w:p>
              </w:tc>
              <w:tc>
                <w:tcPr>
                  <w:tcW w:w="1358" w:type="dxa"/>
                </w:tcPr>
                <w:p w14:paraId="535931AE" w14:textId="0895A0BA" w:rsidR="005D354E" w:rsidRPr="00397B1C" w:rsidRDefault="005D354E" w:rsidP="005D354E">
                  <w:pPr>
                    <w:jc w:val="center"/>
                    <w:rPr>
                      <w:rFonts w:cs="Times New Roman"/>
                      <w:color w:val="EE0000"/>
                      <w:sz w:val="22"/>
                    </w:rPr>
                  </w:pPr>
                  <w:r w:rsidRPr="00397B1C">
                    <w:rPr>
                      <w:rFonts w:cs="Times New Roman"/>
                      <w:color w:val="EE0000"/>
                      <w:sz w:val="22"/>
                    </w:rPr>
                    <w:t>26.956</w:t>
                  </w:r>
                </w:p>
              </w:tc>
              <w:tc>
                <w:tcPr>
                  <w:tcW w:w="1412" w:type="dxa"/>
                </w:tcPr>
                <w:p w14:paraId="1FD3CB5C" w14:textId="77777777" w:rsidR="005D354E" w:rsidRPr="00AF223D" w:rsidRDefault="005D354E" w:rsidP="005D354E">
                  <w:pPr>
                    <w:jc w:val="center"/>
                    <w:rPr>
                      <w:sz w:val="22"/>
                    </w:rPr>
                  </w:pPr>
                  <w:r w:rsidRPr="00AF223D">
                    <w:rPr>
                      <w:sz w:val="22"/>
                    </w:rPr>
                    <w:t>4,676.372</w:t>
                  </w:r>
                </w:p>
              </w:tc>
            </w:tr>
            <w:tr w:rsidR="005D354E" w:rsidRPr="00AF223D" w14:paraId="379C66D8" w14:textId="77777777" w:rsidTr="005D354E">
              <w:tc>
                <w:tcPr>
                  <w:tcW w:w="1359" w:type="dxa"/>
                </w:tcPr>
                <w:p w14:paraId="35A9C6D3" w14:textId="77777777" w:rsidR="005D354E" w:rsidRPr="00AF223D" w:rsidRDefault="005D354E" w:rsidP="005D354E">
                  <w:pPr>
                    <w:jc w:val="center"/>
                    <w:rPr>
                      <w:sz w:val="22"/>
                    </w:rPr>
                  </w:pPr>
                  <w:r w:rsidRPr="00AF223D">
                    <w:rPr>
                      <w:sz w:val="22"/>
                    </w:rPr>
                    <w:t>Chalaco</w:t>
                  </w:r>
                </w:p>
              </w:tc>
              <w:tc>
                <w:tcPr>
                  <w:tcW w:w="1358" w:type="dxa"/>
                </w:tcPr>
                <w:p w14:paraId="4D3D64B1" w14:textId="520F571B"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Pr>
                <w:p w14:paraId="474CC48D" w14:textId="1CFA6D11"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Pr>
                <w:p w14:paraId="671D1E6D" w14:textId="7EC70EAB" w:rsidR="005D354E" w:rsidRPr="00397B1C" w:rsidRDefault="005D354E" w:rsidP="005D354E">
                  <w:pPr>
                    <w:jc w:val="center"/>
                    <w:rPr>
                      <w:rFonts w:cs="Times New Roman"/>
                      <w:color w:val="EE0000"/>
                      <w:sz w:val="22"/>
                    </w:rPr>
                  </w:pPr>
                  <w:r w:rsidRPr="00397B1C">
                    <w:rPr>
                      <w:rFonts w:cs="Times New Roman"/>
                      <w:color w:val="EE0000"/>
                      <w:sz w:val="22"/>
                    </w:rPr>
                    <w:t>480.740</w:t>
                  </w:r>
                </w:p>
              </w:tc>
              <w:tc>
                <w:tcPr>
                  <w:tcW w:w="1358" w:type="dxa"/>
                </w:tcPr>
                <w:p w14:paraId="63252731" w14:textId="73401E00" w:rsidR="005D354E" w:rsidRPr="00397B1C" w:rsidRDefault="005D354E" w:rsidP="005D354E">
                  <w:pPr>
                    <w:jc w:val="center"/>
                    <w:rPr>
                      <w:rFonts w:cs="Times New Roman"/>
                      <w:color w:val="EE0000"/>
                      <w:sz w:val="22"/>
                    </w:rPr>
                  </w:pPr>
                  <w:r w:rsidRPr="00397B1C">
                    <w:rPr>
                      <w:rFonts w:cs="Times New Roman"/>
                      <w:color w:val="EE0000"/>
                      <w:sz w:val="22"/>
                    </w:rPr>
                    <w:t>11,954.535</w:t>
                  </w:r>
                </w:p>
              </w:tc>
              <w:tc>
                <w:tcPr>
                  <w:tcW w:w="1358" w:type="dxa"/>
                </w:tcPr>
                <w:p w14:paraId="235D7CB6" w14:textId="411D0067" w:rsidR="005D354E" w:rsidRPr="00397B1C" w:rsidRDefault="005D354E" w:rsidP="005D354E">
                  <w:pPr>
                    <w:jc w:val="center"/>
                    <w:rPr>
                      <w:rFonts w:cs="Times New Roman"/>
                      <w:color w:val="EE0000"/>
                      <w:sz w:val="22"/>
                    </w:rPr>
                  </w:pPr>
                  <w:r w:rsidRPr="00397B1C">
                    <w:rPr>
                      <w:rFonts w:cs="Times New Roman"/>
                      <w:color w:val="EE0000"/>
                      <w:sz w:val="22"/>
                    </w:rPr>
                    <w:t>224.878</w:t>
                  </w:r>
                </w:p>
              </w:tc>
              <w:tc>
                <w:tcPr>
                  <w:tcW w:w="1412" w:type="dxa"/>
                </w:tcPr>
                <w:p w14:paraId="548619E6" w14:textId="77777777" w:rsidR="005D354E" w:rsidRPr="00AF223D" w:rsidRDefault="005D354E" w:rsidP="005D354E">
                  <w:pPr>
                    <w:jc w:val="center"/>
                    <w:rPr>
                      <w:sz w:val="22"/>
                    </w:rPr>
                  </w:pPr>
                  <w:r w:rsidRPr="00AF223D">
                    <w:rPr>
                      <w:sz w:val="22"/>
                    </w:rPr>
                    <w:t>12,660.153</w:t>
                  </w:r>
                </w:p>
              </w:tc>
            </w:tr>
            <w:tr w:rsidR="005D354E" w:rsidRPr="00AF223D" w14:paraId="51587378" w14:textId="77777777" w:rsidTr="005D354E">
              <w:tc>
                <w:tcPr>
                  <w:tcW w:w="1359" w:type="dxa"/>
                </w:tcPr>
                <w:p w14:paraId="06224197" w14:textId="77777777" w:rsidR="005D354E" w:rsidRPr="00AF223D" w:rsidRDefault="005D354E" w:rsidP="005D354E">
                  <w:pPr>
                    <w:jc w:val="center"/>
                    <w:rPr>
                      <w:sz w:val="22"/>
                    </w:rPr>
                  </w:pPr>
                  <w:proofErr w:type="spellStart"/>
                  <w:r w:rsidRPr="00AF223D">
                    <w:rPr>
                      <w:sz w:val="22"/>
                    </w:rPr>
                    <w:t>Chulucanas</w:t>
                  </w:r>
                  <w:proofErr w:type="spellEnd"/>
                </w:p>
              </w:tc>
              <w:tc>
                <w:tcPr>
                  <w:tcW w:w="1358" w:type="dxa"/>
                </w:tcPr>
                <w:p w14:paraId="6B3AFE84" w14:textId="2E0F90A3" w:rsidR="005D354E" w:rsidRPr="00397B1C" w:rsidRDefault="005D354E" w:rsidP="005D354E">
                  <w:pPr>
                    <w:jc w:val="center"/>
                    <w:rPr>
                      <w:rFonts w:cs="Times New Roman"/>
                      <w:color w:val="EE0000"/>
                      <w:sz w:val="22"/>
                    </w:rPr>
                  </w:pPr>
                  <w:r w:rsidRPr="00397B1C">
                    <w:rPr>
                      <w:rFonts w:cs="Times New Roman"/>
                      <w:color w:val="EE0000"/>
                      <w:sz w:val="22"/>
                    </w:rPr>
                    <w:t>730.033</w:t>
                  </w:r>
                </w:p>
              </w:tc>
              <w:tc>
                <w:tcPr>
                  <w:tcW w:w="1358" w:type="dxa"/>
                </w:tcPr>
                <w:p w14:paraId="514304CA" w14:textId="7DCBCA67" w:rsidR="005D354E" w:rsidRPr="00397B1C" w:rsidRDefault="005D354E" w:rsidP="005D354E">
                  <w:pPr>
                    <w:jc w:val="center"/>
                    <w:rPr>
                      <w:rFonts w:cs="Times New Roman"/>
                      <w:color w:val="EE0000"/>
                      <w:sz w:val="22"/>
                    </w:rPr>
                  </w:pPr>
                  <w:r w:rsidRPr="00397B1C">
                    <w:rPr>
                      <w:rFonts w:cs="Times New Roman"/>
                      <w:color w:val="EE0000"/>
                      <w:sz w:val="22"/>
                    </w:rPr>
                    <w:t>11,709.568</w:t>
                  </w:r>
                </w:p>
              </w:tc>
              <w:tc>
                <w:tcPr>
                  <w:tcW w:w="1358" w:type="dxa"/>
                </w:tcPr>
                <w:p w14:paraId="131B9686" w14:textId="0E20BA8C" w:rsidR="005D354E" w:rsidRPr="00397B1C" w:rsidRDefault="005D354E" w:rsidP="005D354E">
                  <w:pPr>
                    <w:jc w:val="center"/>
                    <w:rPr>
                      <w:rFonts w:cs="Times New Roman"/>
                      <w:color w:val="EE0000"/>
                      <w:sz w:val="22"/>
                    </w:rPr>
                  </w:pPr>
                  <w:r w:rsidRPr="00397B1C">
                    <w:rPr>
                      <w:rFonts w:cs="Times New Roman"/>
                      <w:color w:val="EE0000"/>
                      <w:sz w:val="22"/>
                    </w:rPr>
                    <w:t>4,588.492</w:t>
                  </w:r>
                </w:p>
              </w:tc>
              <w:tc>
                <w:tcPr>
                  <w:tcW w:w="1358" w:type="dxa"/>
                </w:tcPr>
                <w:p w14:paraId="246A3DB1" w14:textId="18A13A58" w:rsidR="005D354E" w:rsidRPr="00397B1C" w:rsidRDefault="005D354E" w:rsidP="005D354E">
                  <w:pPr>
                    <w:jc w:val="center"/>
                    <w:rPr>
                      <w:rFonts w:cs="Times New Roman"/>
                      <w:color w:val="EE0000"/>
                      <w:sz w:val="22"/>
                    </w:rPr>
                  </w:pPr>
                  <w:r w:rsidRPr="00397B1C">
                    <w:rPr>
                      <w:rFonts w:cs="Times New Roman"/>
                      <w:color w:val="EE0000"/>
                      <w:sz w:val="22"/>
                    </w:rPr>
                    <w:t>6,789.607</w:t>
                  </w:r>
                </w:p>
              </w:tc>
              <w:tc>
                <w:tcPr>
                  <w:tcW w:w="1358" w:type="dxa"/>
                </w:tcPr>
                <w:p w14:paraId="1ACD6CD2" w14:textId="7C47FF42" w:rsidR="005D354E" w:rsidRPr="00397B1C" w:rsidRDefault="005D354E" w:rsidP="005D354E">
                  <w:pPr>
                    <w:jc w:val="center"/>
                    <w:rPr>
                      <w:rFonts w:cs="Times New Roman"/>
                      <w:color w:val="EE0000"/>
                      <w:sz w:val="22"/>
                    </w:rPr>
                  </w:pPr>
                  <w:r w:rsidRPr="00397B1C">
                    <w:rPr>
                      <w:rFonts w:cs="Times New Roman"/>
                      <w:color w:val="EE0000"/>
                      <w:sz w:val="22"/>
                    </w:rPr>
                    <w:t>1,078.526</w:t>
                  </w:r>
                </w:p>
              </w:tc>
              <w:tc>
                <w:tcPr>
                  <w:tcW w:w="1412" w:type="dxa"/>
                </w:tcPr>
                <w:p w14:paraId="55D46CA2" w14:textId="77777777" w:rsidR="005D354E" w:rsidRPr="00AF223D" w:rsidRDefault="005D354E" w:rsidP="005D354E">
                  <w:pPr>
                    <w:jc w:val="center"/>
                    <w:rPr>
                      <w:sz w:val="22"/>
                    </w:rPr>
                  </w:pPr>
                  <w:r w:rsidRPr="00AF223D">
                    <w:rPr>
                      <w:sz w:val="22"/>
                    </w:rPr>
                    <w:t>24,896.226</w:t>
                  </w:r>
                </w:p>
              </w:tc>
            </w:tr>
            <w:tr w:rsidR="005D354E" w:rsidRPr="00AF223D" w14:paraId="2D147639" w14:textId="77777777" w:rsidTr="005D354E">
              <w:tc>
                <w:tcPr>
                  <w:tcW w:w="1359" w:type="dxa"/>
                </w:tcPr>
                <w:p w14:paraId="49529CA8" w14:textId="77777777" w:rsidR="005D354E" w:rsidRPr="00AF223D" w:rsidRDefault="005D354E" w:rsidP="005D354E">
                  <w:pPr>
                    <w:jc w:val="center"/>
                    <w:rPr>
                      <w:sz w:val="22"/>
                    </w:rPr>
                  </w:pPr>
                  <w:r w:rsidRPr="00AF223D">
                    <w:rPr>
                      <w:sz w:val="22"/>
                    </w:rPr>
                    <w:t xml:space="preserve">La </w:t>
                  </w:r>
                  <w:proofErr w:type="spellStart"/>
                  <w:r w:rsidRPr="00AF223D">
                    <w:rPr>
                      <w:sz w:val="22"/>
                    </w:rPr>
                    <w:t>Matanza</w:t>
                  </w:r>
                  <w:proofErr w:type="spellEnd"/>
                </w:p>
              </w:tc>
              <w:tc>
                <w:tcPr>
                  <w:tcW w:w="1358" w:type="dxa"/>
                </w:tcPr>
                <w:p w14:paraId="0150BF9D" w14:textId="266CAC8A" w:rsidR="005D354E" w:rsidRPr="00397B1C" w:rsidRDefault="005D354E" w:rsidP="005D354E">
                  <w:pPr>
                    <w:jc w:val="center"/>
                    <w:rPr>
                      <w:rFonts w:cs="Times New Roman"/>
                      <w:color w:val="EE0000"/>
                      <w:sz w:val="22"/>
                    </w:rPr>
                  </w:pPr>
                  <w:r w:rsidRPr="00397B1C">
                    <w:rPr>
                      <w:rFonts w:cs="Times New Roman"/>
                      <w:color w:val="EE0000"/>
                      <w:sz w:val="22"/>
                    </w:rPr>
                    <w:t>49.002</w:t>
                  </w:r>
                </w:p>
              </w:tc>
              <w:tc>
                <w:tcPr>
                  <w:tcW w:w="1358" w:type="dxa"/>
                </w:tcPr>
                <w:p w14:paraId="11D390B4" w14:textId="71187724" w:rsidR="005D354E" w:rsidRPr="00397B1C" w:rsidRDefault="005D354E" w:rsidP="005D354E">
                  <w:pPr>
                    <w:jc w:val="center"/>
                    <w:rPr>
                      <w:rFonts w:cs="Times New Roman"/>
                      <w:color w:val="EE0000"/>
                      <w:sz w:val="22"/>
                    </w:rPr>
                  </w:pPr>
                  <w:r w:rsidRPr="00397B1C">
                    <w:rPr>
                      <w:rFonts w:cs="Times New Roman"/>
                      <w:color w:val="EE0000"/>
                      <w:sz w:val="22"/>
                    </w:rPr>
                    <w:t>5,593.175</w:t>
                  </w:r>
                </w:p>
              </w:tc>
              <w:tc>
                <w:tcPr>
                  <w:tcW w:w="1358" w:type="dxa"/>
                </w:tcPr>
                <w:p w14:paraId="7C62F260" w14:textId="529F9D22" w:rsidR="005D354E" w:rsidRPr="00397B1C" w:rsidRDefault="005D354E" w:rsidP="005D354E">
                  <w:pPr>
                    <w:jc w:val="center"/>
                    <w:rPr>
                      <w:rFonts w:cs="Times New Roman"/>
                      <w:color w:val="EE0000"/>
                      <w:sz w:val="22"/>
                    </w:rPr>
                  </w:pPr>
                  <w:r w:rsidRPr="00397B1C">
                    <w:rPr>
                      <w:rFonts w:cs="Times New Roman"/>
                      <w:color w:val="EE0000"/>
                      <w:sz w:val="22"/>
                    </w:rPr>
                    <w:t>4,531.141</w:t>
                  </w:r>
                </w:p>
              </w:tc>
              <w:tc>
                <w:tcPr>
                  <w:tcW w:w="1358" w:type="dxa"/>
                </w:tcPr>
                <w:p w14:paraId="7AF93FED" w14:textId="712B01F4" w:rsidR="005D354E" w:rsidRPr="00397B1C" w:rsidRDefault="005D354E" w:rsidP="005D354E">
                  <w:pPr>
                    <w:jc w:val="center"/>
                    <w:rPr>
                      <w:rFonts w:cs="Times New Roman"/>
                      <w:color w:val="EE0000"/>
                      <w:sz w:val="22"/>
                    </w:rPr>
                  </w:pPr>
                  <w:r w:rsidRPr="00397B1C">
                    <w:rPr>
                      <w:rFonts w:cs="Times New Roman"/>
                      <w:color w:val="EE0000"/>
                      <w:sz w:val="22"/>
                    </w:rPr>
                    <w:t>211.006</w:t>
                  </w:r>
                </w:p>
              </w:tc>
              <w:tc>
                <w:tcPr>
                  <w:tcW w:w="1358" w:type="dxa"/>
                </w:tcPr>
                <w:p w14:paraId="471650AC" w14:textId="2E8E45FB" w:rsidR="005D354E" w:rsidRPr="00397B1C" w:rsidRDefault="005D354E" w:rsidP="005D354E">
                  <w:pPr>
                    <w:jc w:val="center"/>
                    <w:rPr>
                      <w:rFonts w:cs="Times New Roman"/>
                      <w:color w:val="EE0000"/>
                      <w:sz w:val="22"/>
                    </w:rPr>
                  </w:pPr>
                  <w:r w:rsidRPr="00397B1C">
                    <w:rPr>
                      <w:rFonts w:cs="Times New Roman"/>
                      <w:color w:val="EE0000"/>
                      <w:sz w:val="22"/>
                    </w:rPr>
                    <w:t>0.000</w:t>
                  </w:r>
                </w:p>
              </w:tc>
              <w:tc>
                <w:tcPr>
                  <w:tcW w:w="1412" w:type="dxa"/>
                </w:tcPr>
                <w:p w14:paraId="3E21ADC7" w14:textId="77777777" w:rsidR="005D354E" w:rsidRPr="00AF223D" w:rsidRDefault="005D354E" w:rsidP="005D354E">
                  <w:pPr>
                    <w:jc w:val="center"/>
                    <w:rPr>
                      <w:sz w:val="22"/>
                    </w:rPr>
                  </w:pPr>
                  <w:r w:rsidRPr="00AF223D">
                    <w:rPr>
                      <w:sz w:val="22"/>
                    </w:rPr>
                    <w:t>10,384.324</w:t>
                  </w:r>
                </w:p>
              </w:tc>
            </w:tr>
            <w:tr w:rsidR="005D354E" w:rsidRPr="00AF223D" w14:paraId="4D53A07A" w14:textId="77777777" w:rsidTr="005D354E">
              <w:tc>
                <w:tcPr>
                  <w:tcW w:w="1359" w:type="dxa"/>
                </w:tcPr>
                <w:p w14:paraId="050834C3" w14:textId="77777777" w:rsidR="005D354E" w:rsidRPr="00AF223D" w:rsidRDefault="005D354E" w:rsidP="005D354E">
                  <w:pPr>
                    <w:jc w:val="center"/>
                    <w:rPr>
                      <w:sz w:val="22"/>
                    </w:rPr>
                  </w:pPr>
                  <w:proofErr w:type="spellStart"/>
                  <w:r w:rsidRPr="00AF223D">
                    <w:rPr>
                      <w:sz w:val="22"/>
                    </w:rPr>
                    <w:t>Morropón</w:t>
                  </w:r>
                  <w:proofErr w:type="spellEnd"/>
                </w:p>
              </w:tc>
              <w:tc>
                <w:tcPr>
                  <w:tcW w:w="1358" w:type="dxa"/>
                </w:tcPr>
                <w:p w14:paraId="26DCDE54" w14:textId="0B5EC39B" w:rsidR="005D354E" w:rsidRPr="00397B1C" w:rsidRDefault="005D354E" w:rsidP="005D354E">
                  <w:pPr>
                    <w:jc w:val="center"/>
                    <w:rPr>
                      <w:rFonts w:cs="Times New Roman"/>
                      <w:color w:val="EE0000"/>
                      <w:sz w:val="22"/>
                    </w:rPr>
                  </w:pPr>
                  <w:r w:rsidRPr="00397B1C">
                    <w:rPr>
                      <w:rFonts w:cs="Times New Roman"/>
                      <w:color w:val="EE0000"/>
                      <w:sz w:val="22"/>
                    </w:rPr>
                    <w:t>3.006</w:t>
                  </w:r>
                </w:p>
              </w:tc>
              <w:tc>
                <w:tcPr>
                  <w:tcW w:w="1358" w:type="dxa"/>
                </w:tcPr>
                <w:p w14:paraId="024A0CEB" w14:textId="505C0156" w:rsidR="005D354E" w:rsidRPr="00397B1C" w:rsidRDefault="005D354E" w:rsidP="005D354E">
                  <w:pPr>
                    <w:jc w:val="center"/>
                    <w:rPr>
                      <w:rFonts w:cs="Times New Roman"/>
                      <w:color w:val="EE0000"/>
                      <w:sz w:val="22"/>
                    </w:rPr>
                  </w:pPr>
                  <w:r w:rsidRPr="00397B1C">
                    <w:rPr>
                      <w:rFonts w:cs="Times New Roman"/>
                      <w:color w:val="EE0000"/>
                      <w:sz w:val="22"/>
                    </w:rPr>
                    <w:t>1,002.954</w:t>
                  </w:r>
                </w:p>
              </w:tc>
              <w:tc>
                <w:tcPr>
                  <w:tcW w:w="1358" w:type="dxa"/>
                </w:tcPr>
                <w:p w14:paraId="6DDE4306" w14:textId="74AC0DDD" w:rsidR="005D354E" w:rsidRPr="00397B1C" w:rsidRDefault="005D354E" w:rsidP="005D354E">
                  <w:pPr>
                    <w:jc w:val="center"/>
                    <w:rPr>
                      <w:rFonts w:cs="Times New Roman"/>
                      <w:color w:val="EE0000"/>
                      <w:sz w:val="22"/>
                    </w:rPr>
                  </w:pPr>
                  <w:r w:rsidRPr="00397B1C">
                    <w:rPr>
                      <w:rFonts w:cs="Times New Roman"/>
                      <w:color w:val="EE0000"/>
                      <w:sz w:val="22"/>
                    </w:rPr>
                    <w:t>2,253.390</w:t>
                  </w:r>
                </w:p>
              </w:tc>
              <w:tc>
                <w:tcPr>
                  <w:tcW w:w="1358" w:type="dxa"/>
                </w:tcPr>
                <w:p w14:paraId="02BE2B1B" w14:textId="079CDE62" w:rsidR="005D354E" w:rsidRPr="00397B1C" w:rsidRDefault="005D354E" w:rsidP="005D354E">
                  <w:pPr>
                    <w:jc w:val="center"/>
                    <w:rPr>
                      <w:rFonts w:cs="Times New Roman"/>
                      <w:color w:val="EE0000"/>
                      <w:sz w:val="22"/>
                    </w:rPr>
                  </w:pPr>
                  <w:r w:rsidRPr="00397B1C">
                    <w:rPr>
                      <w:rFonts w:cs="Times New Roman"/>
                      <w:color w:val="EE0000"/>
                      <w:sz w:val="22"/>
                    </w:rPr>
                    <w:t>1,429.785</w:t>
                  </w:r>
                </w:p>
              </w:tc>
              <w:tc>
                <w:tcPr>
                  <w:tcW w:w="1358" w:type="dxa"/>
                </w:tcPr>
                <w:p w14:paraId="548860D5" w14:textId="302325F8" w:rsidR="005D354E" w:rsidRPr="00397B1C" w:rsidRDefault="005D354E" w:rsidP="005D354E">
                  <w:pPr>
                    <w:jc w:val="center"/>
                    <w:rPr>
                      <w:rFonts w:cs="Times New Roman"/>
                      <w:color w:val="EE0000"/>
                      <w:sz w:val="22"/>
                    </w:rPr>
                  </w:pPr>
                  <w:r w:rsidRPr="00397B1C">
                    <w:rPr>
                      <w:rFonts w:cs="Times New Roman"/>
                      <w:color w:val="EE0000"/>
                      <w:sz w:val="22"/>
                    </w:rPr>
                    <w:t>202.394</w:t>
                  </w:r>
                </w:p>
              </w:tc>
              <w:tc>
                <w:tcPr>
                  <w:tcW w:w="1412" w:type="dxa"/>
                </w:tcPr>
                <w:p w14:paraId="0EF7A3CD" w14:textId="77777777" w:rsidR="005D354E" w:rsidRPr="00AF223D" w:rsidRDefault="005D354E" w:rsidP="005D354E">
                  <w:pPr>
                    <w:jc w:val="center"/>
                    <w:rPr>
                      <w:sz w:val="22"/>
                    </w:rPr>
                  </w:pPr>
                  <w:r w:rsidRPr="00AF223D">
                    <w:rPr>
                      <w:sz w:val="22"/>
                    </w:rPr>
                    <w:t>4,891.529</w:t>
                  </w:r>
                </w:p>
              </w:tc>
            </w:tr>
            <w:tr w:rsidR="005D354E" w:rsidRPr="00AF223D" w14:paraId="17410812" w14:textId="77777777" w:rsidTr="005D354E">
              <w:tc>
                <w:tcPr>
                  <w:tcW w:w="1359" w:type="dxa"/>
                </w:tcPr>
                <w:p w14:paraId="1C403A38" w14:textId="77777777" w:rsidR="005D354E" w:rsidRPr="00AF223D" w:rsidRDefault="005D354E" w:rsidP="005D354E">
                  <w:pPr>
                    <w:jc w:val="center"/>
                    <w:rPr>
                      <w:sz w:val="22"/>
                    </w:rPr>
                  </w:pPr>
                  <w:proofErr w:type="spellStart"/>
                  <w:r w:rsidRPr="00AF223D">
                    <w:rPr>
                      <w:sz w:val="22"/>
                    </w:rPr>
                    <w:t>Salitral</w:t>
                  </w:r>
                  <w:proofErr w:type="spellEnd"/>
                </w:p>
              </w:tc>
              <w:tc>
                <w:tcPr>
                  <w:tcW w:w="1358" w:type="dxa"/>
                </w:tcPr>
                <w:p w14:paraId="67063E46" w14:textId="4140EBCC" w:rsidR="005D354E" w:rsidRPr="00397B1C" w:rsidRDefault="005D354E" w:rsidP="005D354E">
                  <w:pPr>
                    <w:jc w:val="center"/>
                    <w:rPr>
                      <w:rFonts w:cs="Times New Roman"/>
                      <w:color w:val="EE0000"/>
                      <w:sz w:val="22"/>
                    </w:rPr>
                  </w:pPr>
                  <w:r w:rsidRPr="00397B1C">
                    <w:rPr>
                      <w:rFonts w:cs="Times New Roman"/>
                      <w:color w:val="EE0000"/>
                      <w:sz w:val="22"/>
                    </w:rPr>
                    <w:t>112.859</w:t>
                  </w:r>
                </w:p>
              </w:tc>
              <w:tc>
                <w:tcPr>
                  <w:tcW w:w="1358" w:type="dxa"/>
                </w:tcPr>
                <w:p w14:paraId="758FEBA7" w14:textId="1A515597" w:rsidR="005D354E" w:rsidRPr="00397B1C" w:rsidRDefault="005D354E" w:rsidP="005D354E">
                  <w:pPr>
                    <w:jc w:val="center"/>
                    <w:rPr>
                      <w:rFonts w:cs="Times New Roman"/>
                      <w:color w:val="EE0000"/>
                      <w:sz w:val="22"/>
                    </w:rPr>
                  </w:pPr>
                  <w:r w:rsidRPr="00397B1C">
                    <w:rPr>
                      <w:rFonts w:cs="Times New Roman"/>
                      <w:color w:val="EE0000"/>
                      <w:sz w:val="22"/>
                    </w:rPr>
                    <w:t>2,057.435</w:t>
                  </w:r>
                </w:p>
              </w:tc>
              <w:tc>
                <w:tcPr>
                  <w:tcW w:w="1358" w:type="dxa"/>
                </w:tcPr>
                <w:p w14:paraId="2D5058E9" w14:textId="3D4D3CF9" w:rsidR="005D354E" w:rsidRPr="00397B1C" w:rsidRDefault="005D354E" w:rsidP="005D354E">
                  <w:pPr>
                    <w:jc w:val="center"/>
                    <w:rPr>
                      <w:rFonts w:cs="Times New Roman"/>
                      <w:color w:val="EE0000"/>
                      <w:sz w:val="22"/>
                    </w:rPr>
                  </w:pPr>
                  <w:r w:rsidRPr="00397B1C">
                    <w:rPr>
                      <w:rFonts w:cs="Times New Roman"/>
                      <w:color w:val="EE0000"/>
                      <w:sz w:val="22"/>
                    </w:rPr>
                    <w:t>1,767.796</w:t>
                  </w:r>
                </w:p>
              </w:tc>
              <w:tc>
                <w:tcPr>
                  <w:tcW w:w="1358" w:type="dxa"/>
                </w:tcPr>
                <w:p w14:paraId="7E6FA434" w14:textId="79238E42" w:rsidR="005D354E" w:rsidRPr="00397B1C" w:rsidRDefault="005D354E" w:rsidP="005D354E">
                  <w:pPr>
                    <w:jc w:val="center"/>
                    <w:rPr>
                      <w:rFonts w:cs="Times New Roman"/>
                      <w:color w:val="EE0000"/>
                      <w:sz w:val="22"/>
                    </w:rPr>
                  </w:pPr>
                  <w:r w:rsidRPr="00397B1C">
                    <w:rPr>
                      <w:rFonts w:cs="Times New Roman"/>
                      <w:color w:val="EE0000"/>
                      <w:sz w:val="22"/>
                    </w:rPr>
                    <w:t>38.951</w:t>
                  </w:r>
                </w:p>
              </w:tc>
              <w:tc>
                <w:tcPr>
                  <w:tcW w:w="1358" w:type="dxa"/>
                </w:tcPr>
                <w:p w14:paraId="1BFB5C9F" w14:textId="3863A6A4"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412" w:type="dxa"/>
                </w:tcPr>
                <w:p w14:paraId="151D11D0" w14:textId="77777777" w:rsidR="005D354E" w:rsidRPr="00AF223D" w:rsidRDefault="005D354E" w:rsidP="005D354E">
                  <w:pPr>
                    <w:jc w:val="center"/>
                    <w:rPr>
                      <w:sz w:val="22"/>
                    </w:rPr>
                  </w:pPr>
                  <w:r w:rsidRPr="00AF223D">
                    <w:rPr>
                      <w:sz w:val="22"/>
                    </w:rPr>
                    <w:t>3,977.041</w:t>
                  </w:r>
                </w:p>
              </w:tc>
            </w:tr>
            <w:tr w:rsidR="005D354E" w:rsidRPr="00AF223D" w14:paraId="50FB0ACC" w14:textId="77777777" w:rsidTr="005D354E">
              <w:tc>
                <w:tcPr>
                  <w:tcW w:w="1359" w:type="dxa"/>
                </w:tcPr>
                <w:p w14:paraId="34DF5429" w14:textId="77777777" w:rsidR="005D354E" w:rsidRPr="00AF223D" w:rsidRDefault="005D354E" w:rsidP="005D354E">
                  <w:pPr>
                    <w:jc w:val="center"/>
                    <w:rPr>
                      <w:sz w:val="22"/>
                    </w:rPr>
                  </w:pPr>
                  <w:r w:rsidRPr="00AF223D">
                    <w:rPr>
                      <w:sz w:val="22"/>
                    </w:rPr>
                    <w:t xml:space="preserve">San Juan de </w:t>
                  </w:r>
                  <w:proofErr w:type="spellStart"/>
                  <w:r w:rsidRPr="00AF223D">
                    <w:rPr>
                      <w:sz w:val="22"/>
                    </w:rPr>
                    <w:t>Bigote</w:t>
                  </w:r>
                  <w:proofErr w:type="spellEnd"/>
                </w:p>
              </w:tc>
              <w:tc>
                <w:tcPr>
                  <w:tcW w:w="1358" w:type="dxa"/>
                </w:tcPr>
                <w:p w14:paraId="76AC7684" w14:textId="2898568D"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Pr>
                <w:p w14:paraId="514BAD0C" w14:textId="5729025C" w:rsidR="005D354E" w:rsidRPr="00397B1C" w:rsidRDefault="005D354E" w:rsidP="005D354E">
                  <w:pPr>
                    <w:jc w:val="center"/>
                    <w:rPr>
                      <w:rFonts w:cs="Times New Roman"/>
                      <w:color w:val="EE0000"/>
                      <w:sz w:val="22"/>
                    </w:rPr>
                  </w:pPr>
                  <w:r w:rsidRPr="00397B1C">
                    <w:rPr>
                      <w:rFonts w:cs="Times New Roman"/>
                      <w:color w:val="EE0000"/>
                      <w:sz w:val="22"/>
                    </w:rPr>
                    <w:t>2,923.855</w:t>
                  </w:r>
                </w:p>
              </w:tc>
              <w:tc>
                <w:tcPr>
                  <w:tcW w:w="1358" w:type="dxa"/>
                </w:tcPr>
                <w:p w14:paraId="5F3A9261" w14:textId="5B4C5E75" w:rsidR="005D354E" w:rsidRPr="00397B1C" w:rsidRDefault="005D354E" w:rsidP="005D354E">
                  <w:pPr>
                    <w:jc w:val="center"/>
                    <w:rPr>
                      <w:rFonts w:cs="Times New Roman"/>
                      <w:color w:val="EE0000"/>
                      <w:sz w:val="22"/>
                    </w:rPr>
                  </w:pPr>
                  <w:r w:rsidRPr="00397B1C">
                    <w:rPr>
                      <w:rFonts w:cs="Times New Roman"/>
                      <w:color w:val="EE0000"/>
                      <w:sz w:val="22"/>
                    </w:rPr>
                    <w:t>2,142.956</w:t>
                  </w:r>
                </w:p>
              </w:tc>
              <w:tc>
                <w:tcPr>
                  <w:tcW w:w="1358" w:type="dxa"/>
                </w:tcPr>
                <w:p w14:paraId="650E7817" w14:textId="4E542C83" w:rsidR="005D354E" w:rsidRPr="00397B1C" w:rsidRDefault="005D354E" w:rsidP="005D354E">
                  <w:pPr>
                    <w:jc w:val="center"/>
                    <w:rPr>
                      <w:rFonts w:cs="Times New Roman"/>
                      <w:color w:val="EE0000"/>
                      <w:sz w:val="22"/>
                    </w:rPr>
                  </w:pPr>
                  <w:r w:rsidRPr="00397B1C">
                    <w:rPr>
                      <w:rFonts w:cs="Times New Roman"/>
                      <w:color w:val="EE0000"/>
                      <w:sz w:val="22"/>
                    </w:rPr>
                    <w:t>17.063</w:t>
                  </w:r>
                </w:p>
              </w:tc>
              <w:tc>
                <w:tcPr>
                  <w:tcW w:w="1358" w:type="dxa"/>
                </w:tcPr>
                <w:p w14:paraId="7721F6EC" w14:textId="34E5E99E"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412" w:type="dxa"/>
                </w:tcPr>
                <w:p w14:paraId="6D0AC381" w14:textId="77777777" w:rsidR="005D354E" w:rsidRPr="00AF223D" w:rsidRDefault="005D354E" w:rsidP="005D354E">
                  <w:pPr>
                    <w:jc w:val="center"/>
                    <w:rPr>
                      <w:sz w:val="22"/>
                    </w:rPr>
                  </w:pPr>
                  <w:r w:rsidRPr="00AF223D">
                    <w:rPr>
                      <w:sz w:val="22"/>
                    </w:rPr>
                    <w:t>5,083.874</w:t>
                  </w:r>
                </w:p>
              </w:tc>
            </w:tr>
            <w:tr w:rsidR="005D354E" w:rsidRPr="00AF223D" w14:paraId="22505BB2" w14:textId="77777777" w:rsidTr="005D354E">
              <w:tc>
                <w:tcPr>
                  <w:tcW w:w="1359" w:type="dxa"/>
                </w:tcPr>
                <w:p w14:paraId="49DA1358" w14:textId="77777777" w:rsidR="005D354E" w:rsidRPr="00AF223D" w:rsidRDefault="005D354E" w:rsidP="005D354E">
                  <w:pPr>
                    <w:jc w:val="center"/>
                    <w:rPr>
                      <w:sz w:val="22"/>
                    </w:rPr>
                  </w:pPr>
                  <w:r w:rsidRPr="00AF223D">
                    <w:rPr>
                      <w:sz w:val="22"/>
                    </w:rPr>
                    <w:t>Santa Catalina de Mossa</w:t>
                  </w:r>
                </w:p>
              </w:tc>
              <w:tc>
                <w:tcPr>
                  <w:tcW w:w="1358" w:type="dxa"/>
                </w:tcPr>
                <w:p w14:paraId="4E24EBA3" w14:textId="7DD7E520"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Pr>
                <w:p w14:paraId="7970AFCB" w14:textId="14A79C9C" w:rsidR="005D354E" w:rsidRPr="00397B1C" w:rsidRDefault="005D354E" w:rsidP="005D354E">
                  <w:pPr>
                    <w:jc w:val="center"/>
                    <w:rPr>
                      <w:rFonts w:cs="Times New Roman"/>
                      <w:color w:val="EE0000"/>
                      <w:sz w:val="22"/>
                    </w:rPr>
                  </w:pPr>
                  <w:r w:rsidRPr="00397B1C">
                    <w:rPr>
                      <w:rFonts w:cs="Times New Roman"/>
                      <w:color w:val="EE0000"/>
                      <w:sz w:val="22"/>
                    </w:rPr>
                    <w:t>141.104</w:t>
                  </w:r>
                </w:p>
              </w:tc>
              <w:tc>
                <w:tcPr>
                  <w:tcW w:w="1358" w:type="dxa"/>
                </w:tcPr>
                <w:p w14:paraId="7314E7F1" w14:textId="2CABDAD0" w:rsidR="005D354E" w:rsidRPr="00397B1C" w:rsidRDefault="005D354E" w:rsidP="005D354E">
                  <w:pPr>
                    <w:jc w:val="center"/>
                    <w:rPr>
                      <w:rFonts w:cs="Times New Roman"/>
                      <w:color w:val="EE0000"/>
                      <w:sz w:val="22"/>
                    </w:rPr>
                  </w:pPr>
                  <w:r w:rsidRPr="00397B1C">
                    <w:rPr>
                      <w:rFonts w:cs="Times New Roman"/>
                      <w:color w:val="EE0000"/>
                      <w:sz w:val="22"/>
                    </w:rPr>
                    <w:t>355.263</w:t>
                  </w:r>
                </w:p>
              </w:tc>
              <w:tc>
                <w:tcPr>
                  <w:tcW w:w="1358" w:type="dxa"/>
                </w:tcPr>
                <w:p w14:paraId="041309A8" w14:textId="1BD0A2F2" w:rsidR="005D354E" w:rsidRPr="00397B1C" w:rsidRDefault="005D354E" w:rsidP="005D354E">
                  <w:pPr>
                    <w:jc w:val="center"/>
                    <w:rPr>
                      <w:rFonts w:cs="Times New Roman"/>
                      <w:color w:val="EE0000"/>
                      <w:sz w:val="22"/>
                    </w:rPr>
                  </w:pPr>
                  <w:r w:rsidRPr="00397B1C">
                    <w:rPr>
                      <w:rFonts w:cs="Times New Roman"/>
                      <w:color w:val="EE0000"/>
                      <w:sz w:val="22"/>
                    </w:rPr>
                    <w:t>3,614.676</w:t>
                  </w:r>
                </w:p>
              </w:tc>
              <w:tc>
                <w:tcPr>
                  <w:tcW w:w="1358" w:type="dxa"/>
                </w:tcPr>
                <w:p w14:paraId="6966244E" w14:textId="0990931F" w:rsidR="005D354E" w:rsidRPr="00397B1C" w:rsidRDefault="005D354E" w:rsidP="005D354E">
                  <w:pPr>
                    <w:jc w:val="center"/>
                    <w:rPr>
                      <w:rFonts w:cs="Times New Roman"/>
                      <w:color w:val="EE0000"/>
                      <w:sz w:val="22"/>
                    </w:rPr>
                  </w:pPr>
                  <w:r w:rsidRPr="00397B1C">
                    <w:rPr>
                      <w:rFonts w:cs="Times New Roman"/>
                      <w:color w:val="EE0000"/>
                      <w:sz w:val="22"/>
                    </w:rPr>
                    <w:t>176.130</w:t>
                  </w:r>
                </w:p>
              </w:tc>
              <w:tc>
                <w:tcPr>
                  <w:tcW w:w="1412" w:type="dxa"/>
                </w:tcPr>
                <w:p w14:paraId="0E8BBFF9" w14:textId="77777777" w:rsidR="005D354E" w:rsidRPr="00AF223D" w:rsidRDefault="005D354E" w:rsidP="005D354E">
                  <w:pPr>
                    <w:jc w:val="center"/>
                    <w:rPr>
                      <w:sz w:val="22"/>
                    </w:rPr>
                  </w:pPr>
                  <w:r w:rsidRPr="00AF223D">
                    <w:rPr>
                      <w:sz w:val="22"/>
                    </w:rPr>
                    <w:t>4,287.173</w:t>
                  </w:r>
                </w:p>
              </w:tc>
            </w:tr>
            <w:tr w:rsidR="005D354E" w:rsidRPr="00AF223D" w14:paraId="1F70ED8A" w14:textId="77777777" w:rsidTr="005D354E">
              <w:tc>
                <w:tcPr>
                  <w:tcW w:w="1359" w:type="dxa"/>
                </w:tcPr>
                <w:p w14:paraId="7FDA83E4" w14:textId="77777777" w:rsidR="005D354E" w:rsidRPr="00AF223D" w:rsidRDefault="005D354E" w:rsidP="005D354E">
                  <w:pPr>
                    <w:jc w:val="center"/>
                    <w:rPr>
                      <w:sz w:val="22"/>
                    </w:rPr>
                  </w:pPr>
                  <w:r w:rsidRPr="00AF223D">
                    <w:rPr>
                      <w:sz w:val="22"/>
                    </w:rPr>
                    <w:t>Santo Domingo</w:t>
                  </w:r>
                </w:p>
              </w:tc>
              <w:tc>
                <w:tcPr>
                  <w:tcW w:w="1358" w:type="dxa"/>
                </w:tcPr>
                <w:p w14:paraId="7D02C5EC" w14:textId="2292A02E"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Pr>
                <w:p w14:paraId="6E6FF7ED" w14:textId="2A3DE815" w:rsidR="005D354E" w:rsidRPr="00397B1C" w:rsidRDefault="005D354E" w:rsidP="005D354E">
                  <w:pPr>
                    <w:jc w:val="center"/>
                    <w:rPr>
                      <w:rFonts w:cs="Times New Roman"/>
                      <w:color w:val="EE0000"/>
                      <w:sz w:val="22"/>
                    </w:rPr>
                  </w:pPr>
                  <w:r w:rsidRPr="00397B1C">
                    <w:rPr>
                      <w:rFonts w:cs="Times New Roman"/>
                      <w:color w:val="EE0000"/>
                      <w:sz w:val="22"/>
                    </w:rPr>
                    <w:t>0.000</w:t>
                  </w:r>
                </w:p>
              </w:tc>
              <w:tc>
                <w:tcPr>
                  <w:tcW w:w="1358" w:type="dxa"/>
                </w:tcPr>
                <w:p w14:paraId="58872F6A" w14:textId="452D4977" w:rsidR="005D354E" w:rsidRPr="00397B1C" w:rsidRDefault="005D354E" w:rsidP="005D354E">
                  <w:pPr>
                    <w:jc w:val="center"/>
                    <w:rPr>
                      <w:rFonts w:cs="Times New Roman"/>
                      <w:color w:val="EE0000"/>
                      <w:sz w:val="22"/>
                    </w:rPr>
                  </w:pPr>
                  <w:r w:rsidRPr="00397B1C">
                    <w:rPr>
                      <w:rFonts w:cs="Times New Roman"/>
                      <w:color w:val="EE0000"/>
                      <w:sz w:val="22"/>
                    </w:rPr>
                    <w:t>125.138</w:t>
                  </w:r>
                </w:p>
              </w:tc>
              <w:tc>
                <w:tcPr>
                  <w:tcW w:w="1358" w:type="dxa"/>
                </w:tcPr>
                <w:p w14:paraId="5532DA23" w14:textId="2E07DBBB" w:rsidR="005D354E" w:rsidRPr="00397B1C" w:rsidRDefault="005D354E" w:rsidP="005D354E">
                  <w:pPr>
                    <w:jc w:val="center"/>
                    <w:rPr>
                      <w:rFonts w:cs="Times New Roman"/>
                      <w:color w:val="EE0000"/>
                      <w:sz w:val="22"/>
                    </w:rPr>
                  </w:pPr>
                  <w:r w:rsidRPr="00397B1C">
                    <w:rPr>
                      <w:rFonts w:cs="Times New Roman"/>
                      <w:color w:val="EE0000"/>
                      <w:sz w:val="22"/>
                    </w:rPr>
                    <w:t>10,133.208</w:t>
                  </w:r>
                </w:p>
              </w:tc>
              <w:tc>
                <w:tcPr>
                  <w:tcW w:w="1358" w:type="dxa"/>
                </w:tcPr>
                <w:p w14:paraId="1AE74862" w14:textId="1DC55C6A" w:rsidR="005D354E" w:rsidRPr="00397B1C" w:rsidRDefault="005D354E" w:rsidP="005D354E">
                  <w:pPr>
                    <w:jc w:val="center"/>
                    <w:rPr>
                      <w:rFonts w:cs="Times New Roman"/>
                      <w:color w:val="EE0000"/>
                      <w:sz w:val="22"/>
                    </w:rPr>
                  </w:pPr>
                  <w:r w:rsidRPr="00397B1C">
                    <w:rPr>
                      <w:rFonts w:cs="Times New Roman"/>
                      <w:color w:val="EE0000"/>
                      <w:sz w:val="22"/>
                    </w:rPr>
                    <w:t>23.026</w:t>
                  </w:r>
                </w:p>
              </w:tc>
              <w:tc>
                <w:tcPr>
                  <w:tcW w:w="1412" w:type="dxa"/>
                </w:tcPr>
                <w:p w14:paraId="35D09F02" w14:textId="77777777" w:rsidR="005D354E" w:rsidRPr="00AF223D" w:rsidRDefault="005D354E" w:rsidP="005D354E">
                  <w:pPr>
                    <w:jc w:val="center"/>
                    <w:rPr>
                      <w:sz w:val="22"/>
                    </w:rPr>
                  </w:pPr>
                  <w:r w:rsidRPr="00AF223D">
                    <w:rPr>
                      <w:sz w:val="22"/>
                    </w:rPr>
                    <w:t>10,281.372</w:t>
                  </w:r>
                </w:p>
              </w:tc>
            </w:tr>
            <w:tr w:rsidR="005D354E" w:rsidRPr="00AF223D" w14:paraId="46CA53A4" w14:textId="77777777" w:rsidTr="005D354E">
              <w:tc>
                <w:tcPr>
                  <w:tcW w:w="1359" w:type="dxa"/>
                  <w:tcBorders>
                    <w:bottom w:val="single" w:sz="4" w:space="0" w:color="auto"/>
                  </w:tcBorders>
                </w:tcPr>
                <w:p w14:paraId="4A558A7E" w14:textId="77777777" w:rsidR="005D354E" w:rsidRPr="00AF223D" w:rsidRDefault="005D354E" w:rsidP="005D354E">
                  <w:pPr>
                    <w:jc w:val="center"/>
                    <w:rPr>
                      <w:sz w:val="22"/>
                    </w:rPr>
                  </w:pPr>
                  <w:proofErr w:type="spellStart"/>
                  <w:r w:rsidRPr="00AF223D">
                    <w:rPr>
                      <w:sz w:val="22"/>
                    </w:rPr>
                    <w:t>Yamango</w:t>
                  </w:r>
                  <w:proofErr w:type="spellEnd"/>
                </w:p>
              </w:tc>
              <w:tc>
                <w:tcPr>
                  <w:tcW w:w="1358" w:type="dxa"/>
                  <w:tcBorders>
                    <w:bottom w:val="single" w:sz="4" w:space="0" w:color="auto"/>
                  </w:tcBorders>
                </w:tcPr>
                <w:p w14:paraId="4EAEE8ED" w14:textId="1F2179B0" w:rsidR="005D354E" w:rsidRPr="00397B1C" w:rsidRDefault="005D354E" w:rsidP="005D354E">
                  <w:pPr>
                    <w:jc w:val="center"/>
                    <w:rPr>
                      <w:rFonts w:cs="Times New Roman"/>
                      <w:color w:val="EE0000"/>
                      <w:sz w:val="22"/>
                    </w:rPr>
                  </w:pPr>
                  <w:r w:rsidRPr="00397B1C">
                    <w:rPr>
                      <w:rFonts w:cs="Times New Roman"/>
                      <w:color w:val="EE0000"/>
                      <w:sz w:val="22"/>
                    </w:rPr>
                    <w:t>0</w:t>
                  </w:r>
                </w:p>
              </w:tc>
              <w:tc>
                <w:tcPr>
                  <w:tcW w:w="1358" w:type="dxa"/>
                  <w:tcBorders>
                    <w:bottom w:val="single" w:sz="4" w:space="0" w:color="auto"/>
                  </w:tcBorders>
                </w:tcPr>
                <w:p w14:paraId="272AAE2E" w14:textId="2E968206" w:rsidR="005D354E" w:rsidRPr="00397B1C" w:rsidRDefault="005D354E" w:rsidP="005D354E">
                  <w:pPr>
                    <w:jc w:val="center"/>
                    <w:rPr>
                      <w:rFonts w:cs="Times New Roman"/>
                      <w:color w:val="EE0000"/>
                      <w:sz w:val="22"/>
                    </w:rPr>
                  </w:pPr>
                  <w:r w:rsidRPr="00397B1C">
                    <w:rPr>
                      <w:rFonts w:cs="Times New Roman"/>
                      <w:color w:val="EE0000"/>
                      <w:sz w:val="22"/>
                    </w:rPr>
                    <w:t>117.954</w:t>
                  </w:r>
                </w:p>
              </w:tc>
              <w:tc>
                <w:tcPr>
                  <w:tcW w:w="1358" w:type="dxa"/>
                  <w:tcBorders>
                    <w:bottom w:val="single" w:sz="4" w:space="0" w:color="auto"/>
                  </w:tcBorders>
                </w:tcPr>
                <w:p w14:paraId="2B68EBA3" w14:textId="7E856926" w:rsidR="005D354E" w:rsidRPr="00397B1C" w:rsidRDefault="005D354E" w:rsidP="005D354E">
                  <w:pPr>
                    <w:jc w:val="center"/>
                    <w:rPr>
                      <w:rFonts w:cs="Times New Roman"/>
                      <w:color w:val="EE0000"/>
                      <w:sz w:val="22"/>
                    </w:rPr>
                  </w:pPr>
                  <w:r w:rsidRPr="00397B1C">
                    <w:rPr>
                      <w:rFonts w:cs="Times New Roman"/>
                      <w:color w:val="EE0000"/>
                      <w:sz w:val="22"/>
                    </w:rPr>
                    <w:t>2,856.904</w:t>
                  </w:r>
                </w:p>
              </w:tc>
              <w:tc>
                <w:tcPr>
                  <w:tcW w:w="1358" w:type="dxa"/>
                  <w:tcBorders>
                    <w:bottom w:val="single" w:sz="4" w:space="0" w:color="auto"/>
                  </w:tcBorders>
                </w:tcPr>
                <w:p w14:paraId="73248648" w14:textId="5F1FDD4D" w:rsidR="005D354E" w:rsidRPr="00397B1C" w:rsidRDefault="005D354E" w:rsidP="005D354E">
                  <w:pPr>
                    <w:jc w:val="center"/>
                    <w:rPr>
                      <w:rFonts w:cs="Times New Roman"/>
                      <w:color w:val="EE0000"/>
                      <w:sz w:val="22"/>
                    </w:rPr>
                  </w:pPr>
                  <w:r w:rsidRPr="00397B1C">
                    <w:rPr>
                      <w:rFonts w:cs="Times New Roman"/>
                      <w:color w:val="EE0000"/>
                      <w:sz w:val="22"/>
                    </w:rPr>
                    <w:t>9,334.418</w:t>
                  </w:r>
                </w:p>
              </w:tc>
              <w:tc>
                <w:tcPr>
                  <w:tcW w:w="1358" w:type="dxa"/>
                  <w:tcBorders>
                    <w:bottom w:val="single" w:sz="4" w:space="0" w:color="auto"/>
                  </w:tcBorders>
                </w:tcPr>
                <w:p w14:paraId="5B406F97" w14:textId="542CB28C" w:rsidR="005D354E" w:rsidRPr="00397B1C" w:rsidRDefault="005D354E" w:rsidP="005D354E">
                  <w:pPr>
                    <w:jc w:val="center"/>
                    <w:rPr>
                      <w:rFonts w:cs="Times New Roman"/>
                      <w:color w:val="EE0000"/>
                      <w:sz w:val="22"/>
                    </w:rPr>
                  </w:pPr>
                  <w:r w:rsidRPr="00397B1C">
                    <w:rPr>
                      <w:rFonts w:cs="Times New Roman"/>
                      <w:color w:val="EE0000"/>
                      <w:sz w:val="22"/>
                    </w:rPr>
                    <w:t>438.832</w:t>
                  </w:r>
                </w:p>
              </w:tc>
              <w:tc>
                <w:tcPr>
                  <w:tcW w:w="1412" w:type="dxa"/>
                  <w:tcBorders>
                    <w:bottom w:val="single" w:sz="4" w:space="0" w:color="auto"/>
                  </w:tcBorders>
                </w:tcPr>
                <w:p w14:paraId="5205E260" w14:textId="77777777" w:rsidR="005D354E" w:rsidRPr="00AF223D" w:rsidRDefault="005D354E" w:rsidP="005D354E">
                  <w:pPr>
                    <w:jc w:val="center"/>
                    <w:rPr>
                      <w:sz w:val="22"/>
                    </w:rPr>
                  </w:pPr>
                  <w:r w:rsidRPr="00AF223D">
                    <w:rPr>
                      <w:sz w:val="22"/>
                    </w:rPr>
                    <w:t>12,748.108</w:t>
                  </w:r>
                </w:p>
              </w:tc>
            </w:tr>
            <w:tr w:rsidR="005D354E" w:rsidRPr="00AF223D" w14:paraId="1433E7CE" w14:textId="77777777" w:rsidTr="005D354E">
              <w:tc>
                <w:tcPr>
                  <w:tcW w:w="1359" w:type="dxa"/>
                  <w:tcBorders>
                    <w:top w:val="single" w:sz="4" w:space="0" w:color="auto"/>
                    <w:bottom w:val="single" w:sz="4" w:space="0" w:color="auto"/>
                  </w:tcBorders>
                </w:tcPr>
                <w:p w14:paraId="5AF7A174" w14:textId="77777777" w:rsidR="005D354E" w:rsidRPr="00AF223D" w:rsidRDefault="005D354E" w:rsidP="005D354E">
                  <w:pPr>
                    <w:jc w:val="center"/>
                    <w:rPr>
                      <w:sz w:val="22"/>
                    </w:rPr>
                  </w:pPr>
                  <w:proofErr w:type="spellStart"/>
                  <w:r w:rsidRPr="00AF223D">
                    <w:rPr>
                      <w:sz w:val="22"/>
                    </w:rPr>
                    <w:t>Área</w:t>
                  </w:r>
                  <w:proofErr w:type="spellEnd"/>
                  <w:r w:rsidRPr="00AF223D">
                    <w:rPr>
                      <w:sz w:val="22"/>
                    </w:rPr>
                    <w:t xml:space="preserve"> total (ha)</w:t>
                  </w:r>
                </w:p>
              </w:tc>
              <w:tc>
                <w:tcPr>
                  <w:tcW w:w="1358" w:type="dxa"/>
                  <w:tcBorders>
                    <w:top w:val="single" w:sz="4" w:space="0" w:color="auto"/>
                    <w:bottom w:val="single" w:sz="4" w:space="0" w:color="auto"/>
                  </w:tcBorders>
                </w:tcPr>
                <w:p w14:paraId="68F9C80A" w14:textId="64341F1D" w:rsidR="005D354E" w:rsidRPr="00397B1C" w:rsidRDefault="005D354E" w:rsidP="005D354E">
                  <w:pPr>
                    <w:jc w:val="center"/>
                    <w:rPr>
                      <w:rFonts w:cs="Times New Roman"/>
                      <w:color w:val="EE0000"/>
                      <w:sz w:val="22"/>
                    </w:rPr>
                  </w:pPr>
                  <w:r w:rsidRPr="00397B1C">
                    <w:rPr>
                      <w:rFonts w:cs="Times New Roman"/>
                      <w:color w:val="EE0000"/>
                      <w:sz w:val="22"/>
                    </w:rPr>
                    <w:t>894.900</w:t>
                  </w:r>
                </w:p>
              </w:tc>
              <w:tc>
                <w:tcPr>
                  <w:tcW w:w="1358" w:type="dxa"/>
                  <w:tcBorders>
                    <w:top w:val="single" w:sz="4" w:space="0" w:color="auto"/>
                    <w:bottom w:val="single" w:sz="4" w:space="0" w:color="auto"/>
                  </w:tcBorders>
                </w:tcPr>
                <w:p w14:paraId="517C0CDC" w14:textId="6479AE9C" w:rsidR="005D354E" w:rsidRPr="00397B1C" w:rsidRDefault="005D354E" w:rsidP="005D354E">
                  <w:pPr>
                    <w:jc w:val="center"/>
                    <w:rPr>
                      <w:rFonts w:cs="Times New Roman"/>
                      <w:color w:val="EE0000"/>
                      <w:sz w:val="22"/>
                    </w:rPr>
                  </w:pPr>
                  <w:r w:rsidRPr="00397B1C">
                    <w:rPr>
                      <w:rFonts w:cs="Times New Roman"/>
                      <w:color w:val="EE0000"/>
                      <w:sz w:val="22"/>
                    </w:rPr>
                    <w:t>24,223.939</w:t>
                  </w:r>
                </w:p>
              </w:tc>
              <w:tc>
                <w:tcPr>
                  <w:tcW w:w="1358" w:type="dxa"/>
                  <w:tcBorders>
                    <w:top w:val="single" w:sz="4" w:space="0" w:color="auto"/>
                    <w:bottom w:val="single" w:sz="4" w:space="0" w:color="auto"/>
                  </w:tcBorders>
                </w:tcPr>
                <w:p w14:paraId="1F063CF9" w14:textId="2B2C7622" w:rsidR="005D354E" w:rsidRPr="00397B1C" w:rsidRDefault="005D354E" w:rsidP="005D354E">
                  <w:pPr>
                    <w:jc w:val="center"/>
                    <w:rPr>
                      <w:rFonts w:cs="Times New Roman"/>
                      <w:color w:val="EE0000"/>
                      <w:sz w:val="22"/>
                    </w:rPr>
                  </w:pPr>
                  <w:r w:rsidRPr="00397B1C">
                    <w:rPr>
                      <w:rFonts w:cs="Times New Roman"/>
                      <w:color w:val="EE0000"/>
                      <w:sz w:val="22"/>
                    </w:rPr>
                    <w:t>22,837.726</w:t>
                  </w:r>
                </w:p>
              </w:tc>
              <w:tc>
                <w:tcPr>
                  <w:tcW w:w="1358" w:type="dxa"/>
                  <w:tcBorders>
                    <w:top w:val="single" w:sz="4" w:space="0" w:color="auto"/>
                    <w:bottom w:val="single" w:sz="4" w:space="0" w:color="auto"/>
                  </w:tcBorders>
                </w:tcPr>
                <w:p w14:paraId="4D5DE942" w14:textId="63BCB98F" w:rsidR="005D354E" w:rsidRPr="00397B1C" w:rsidRDefault="005D354E" w:rsidP="005D354E">
                  <w:pPr>
                    <w:jc w:val="center"/>
                    <w:rPr>
                      <w:rFonts w:cs="Times New Roman"/>
                      <w:color w:val="EE0000"/>
                      <w:sz w:val="22"/>
                    </w:rPr>
                  </w:pPr>
                  <w:r w:rsidRPr="00397B1C">
                    <w:rPr>
                      <w:rFonts w:cs="Times New Roman"/>
                      <w:color w:val="EE0000"/>
                      <w:sz w:val="22"/>
                    </w:rPr>
                    <w:t>43,758.865</w:t>
                  </w:r>
                </w:p>
              </w:tc>
              <w:tc>
                <w:tcPr>
                  <w:tcW w:w="1358" w:type="dxa"/>
                  <w:tcBorders>
                    <w:top w:val="single" w:sz="4" w:space="0" w:color="auto"/>
                    <w:bottom w:val="single" w:sz="4" w:space="0" w:color="auto"/>
                  </w:tcBorders>
                </w:tcPr>
                <w:p w14:paraId="26CA69C9" w14:textId="5A27A087" w:rsidR="005D354E" w:rsidRPr="00397B1C" w:rsidRDefault="005D354E" w:rsidP="005D354E">
                  <w:pPr>
                    <w:jc w:val="center"/>
                    <w:rPr>
                      <w:rFonts w:cs="Times New Roman"/>
                      <w:color w:val="EE0000"/>
                      <w:sz w:val="22"/>
                    </w:rPr>
                  </w:pPr>
                  <w:r w:rsidRPr="00397B1C">
                    <w:rPr>
                      <w:rFonts w:cs="Times New Roman"/>
                      <w:color w:val="EE0000"/>
                      <w:sz w:val="22"/>
                    </w:rPr>
                    <w:t>2,170.742</w:t>
                  </w:r>
                </w:p>
              </w:tc>
              <w:tc>
                <w:tcPr>
                  <w:tcW w:w="1412" w:type="dxa"/>
                  <w:tcBorders>
                    <w:top w:val="single" w:sz="4" w:space="0" w:color="auto"/>
                    <w:bottom w:val="single" w:sz="4" w:space="0" w:color="auto"/>
                  </w:tcBorders>
                </w:tcPr>
                <w:p w14:paraId="3E491192" w14:textId="77777777" w:rsidR="005D354E" w:rsidRPr="00AF223D" w:rsidRDefault="005D354E" w:rsidP="005D354E">
                  <w:pPr>
                    <w:jc w:val="center"/>
                    <w:rPr>
                      <w:sz w:val="22"/>
                    </w:rPr>
                  </w:pPr>
                  <w:r w:rsidRPr="00AF223D">
                    <w:rPr>
                      <w:sz w:val="22"/>
                    </w:rPr>
                    <w:t>93,886.172</w:t>
                  </w:r>
                </w:p>
              </w:tc>
            </w:tr>
            <w:bookmarkEnd w:id="33"/>
          </w:tbl>
          <w:p w14:paraId="2650948B" w14:textId="77777777" w:rsidR="003B41E9" w:rsidRPr="00AF223D" w:rsidRDefault="003B41E9">
            <w:pPr>
              <w:rPr>
                <w:sz w:val="22"/>
              </w:rPr>
            </w:pPr>
          </w:p>
        </w:tc>
      </w:tr>
    </w:tbl>
    <w:p w14:paraId="6F7F3ACA" w14:textId="77777777" w:rsidR="003B41E9" w:rsidRPr="00AF223D" w:rsidRDefault="00000000">
      <w:pPr>
        <w:pStyle w:val="Ttulo1"/>
        <w:rPr>
          <w:sz w:val="22"/>
          <w:szCs w:val="22"/>
        </w:rPr>
      </w:pPr>
      <w:bookmarkStart w:id="34" w:name="discussion"/>
      <w:bookmarkEnd w:id="20"/>
      <w:bookmarkEnd w:id="30"/>
      <w:r w:rsidRPr="00AF223D">
        <w:rPr>
          <w:bCs/>
          <w:sz w:val="22"/>
          <w:szCs w:val="22"/>
        </w:rPr>
        <w:lastRenderedPageBreak/>
        <w:t>DISCUSSION</w:t>
      </w:r>
    </w:p>
    <w:p w14:paraId="7EFF4D17" w14:textId="77777777" w:rsidR="003B41E9" w:rsidRPr="00AF223D" w:rsidRDefault="00000000">
      <w:pPr>
        <w:pStyle w:val="Ttulo2"/>
        <w:rPr>
          <w:sz w:val="22"/>
          <w:szCs w:val="22"/>
        </w:rPr>
      </w:pPr>
      <w:bookmarkStart w:id="35" w:name="X267b5f7cec7112764f8f6df51c2d66a2fe4850e"/>
      <w:r w:rsidRPr="00AF223D">
        <w:rPr>
          <w:sz w:val="22"/>
          <w:szCs w:val="22"/>
        </w:rPr>
        <w:t xml:space="preserve">Interpretation of </w:t>
      </w:r>
      <w:proofErr w:type="spellStart"/>
      <w:r w:rsidRPr="00AF223D">
        <w:rPr>
          <w:sz w:val="22"/>
          <w:szCs w:val="22"/>
        </w:rPr>
        <w:t>SQIw</w:t>
      </w:r>
      <w:proofErr w:type="spellEnd"/>
      <w:r w:rsidRPr="00AF223D">
        <w:rPr>
          <w:sz w:val="22"/>
          <w:szCs w:val="22"/>
        </w:rPr>
        <w:t xml:space="preserve"> and its relationship to the assessment of saline, sodic and alkaline soils in arid agroecosystems on the northern Peruvian coast</w:t>
      </w:r>
    </w:p>
    <w:p w14:paraId="233D7959" w14:textId="73E1C5DE" w:rsidR="003B41E9" w:rsidRPr="00427376" w:rsidRDefault="00427376">
      <w:pPr>
        <w:rPr>
          <w:sz w:val="22"/>
        </w:rPr>
      </w:pPr>
      <w:r w:rsidRPr="00397B1C">
        <w:rPr>
          <w:color w:val="EE0000"/>
          <w:sz w:val="22"/>
        </w:rPr>
        <w:t>The soil quality index (</w:t>
      </w:r>
      <w:proofErr w:type="spellStart"/>
      <w:r w:rsidRPr="00397B1C">
        <w:rPr>
          <w:color w:val="EE0000"/>
          <w:sz w:val="22"/>
        </w:rPr>
        <w:t>SQIw</w:t>
      </w:r>
      <w:proofErr w:type="spellEnd"/>
      <w:r w:rsidRPr="00397B1C">
        <w:rPr>
          <w:color w:val="EE0000"/>
          <w:sz w:val="22"/>
        </w:rPr>
        <w:t xml:space="preserve">) integrated multiple </w:t>
      </w:r>
      <w:proofErr w:type="spellStart"/>
      <w:r w:rsidRPr="00397B1C">
        <w:rPr>
          <w:color w:val="EE0000"/>
          <w:sz w:val="22"/>
        </w:rPr>
        <w:t>physico</w:t>
      </w:r>
      <w:proofErr w:type="spellEnd"/>
      <w:r w:rsidRPr="00397B1C">
        <w:rPr>
          <w:color w:val="EE0000"/>
          <w:sz w:val="22"/>
        </w:rPr>
        <w:t xml:space="preserve">-chemical attributes into a single, highly sensitive metric for diagnosing fertility in saline–sodic soils of </w:t>
      </w:r>
      <w:proofErr w:type="spellStart"/>
      <w:r w:rsidRPr="00397B1C">
        <w:rPr>
          <w:color w:val="EE0000"/>
          <w:sz w:val="22"/>
        </w:rPr>
        <w:t>Morropón</w:t>
      </w:r>
      <w:proofErr w:type="spellEnd"/>
      <w:r w:rsidRPr="00397B1C">
        <w:rPr>
          <w:color w:val="EE0000"/>
          <w:sz w:val="22"/>
        </w:rPr>
        <w:t xml:space="preserve"> Province, Piura. Significant correlations were observed between </w:t>
      </w:r>
      <w:proofErr w:type="spellStart"/>
      <w:r w:rsidRPr="00397B1C">
        <w:rPr>
          <w:color w:val="EE0000"/>
          <w:sz w:val="22"/>
        </w:rPr>
        <w:t>SQIw</w:t>
      </w:r>
      <w:proofErr w:type="spellEnd"/>
      <w:r w:rsidRPr="00397B1C">
        <w:rPr>
          <w:color w:val="EE0000"/>
          <w:sz w:val="22"/>
        </w:rPr>
        <w:t xml:space="preserve"> and exchangeable sodium percentage (ESP; r = −0.62), clay content (r = 0.41), bulk density (BD; r = −0.37), and pH (r = −0.35). Nevertheless, mean values of electrical conductivity of the saturation extract (</w:t>
      </w:r>
      <w:proofErr w:type="spellStart"/>
      <w:r w:rsidRPr="00397B1C">
        <w:rPr>
          <w:color w:val="EE0000"/>
          <w:sz w:val="22"/>
        </w:rPr>
        <w:t>ECe</w:t>
      </w:r>
      <w:proofErr w:type="spellEnd"/>
      <w:r w:rsidRPr="00397B1C">
        <w:rPr>
          <w:color w:val="EE0000"/>
          <w:sz w:val="22"/>
        </w:rPr>
        <w:t xml:space="preserve">) were elevated across all soil-quality classes (10.77 ± 11.18 to 16.10 ± 44.60 </w:t>
      </w:r>
      <w:proofErr w:type="spellStart"/>
      <w:r w:rsidRPr="00397B1C">
        <w:rPr>
          <w:color w:val="EE0000"/>
          <w:sz w:val="22"/>
        </w:rPr>
        <w:t>dS</w:t>
      </w:r>
      <w:proofErr w:type="spellEnd"/>
      <w:r w:rsidRPr="00397B1C">
        <w:rPr>
          <w:color w:val="EE0000"/>
          <w:sz w:val="22"/>
        </w:rPr>
        <w:t xml:space="preserve"> m⁻¹). This result indicates that salinity represented a widespread background condition, whereas the relative soil-quality gradient was more strongly differentiated by </w:t>
      </w:r>
      <w:proofErr w:type="spellStart"/>
      <w:r w:rsidRPr="00397B1C">
        <w:rPr>
          <w:color w:val="EE0000"/>
          <w:sz w:val="22"/>
        </w:rPr>
        <w:t>sodicity</w:t>
      </w:r>
      <w:proofErr w:type="spellEnd"/>
      <w:r w:rsidRPr="00397B1C">
        <w:rPr>
          <w:color w:val="EE0000"/>
          <w:sz w:val="22"/>
        </w:rPr>
        <w:t xml:space="preserve">. This interpretation was supported by the strong relationships of </w:t>
      </w:r>
      <w:proofErr w:type="spellStart"/>
      <w:r w:rsidRPr="00397B1C">
        <w:rPr>
          <w:color w:val="EE0000"/>
          <w:sz w:val="22"/>
        </w:rPr>
        <w:t>SQIw</w:t>
      </w:r>
      <w:proofErr w:type="spellEnd"/>
      <w:r w:rsidRPr="00397B1C">
        <w:rPr>
          <w:color w:val="EE0000"/>
          <w:sz w:val="22"/>
        </w:rPr>
        <w:t xml:space="preserve"> with ESP (r = −0.62) and exchangeable Na (r = −0.53), compared with the negligible relationship with </w:t>
      </w:r>
      <w:proofErr w:type="spellStart"/>
      <w:r w:rsidRPr="00397B1C">
        <w:rPr>
          <w:color w:val="EE0000"/>
          <w:sz w:val="22"/>
        </w:rPr>
        <w:t>ECe</w:t>
      </w:r>
      <w:proofErr w:type="spellEnd"/>
      <w:r w:rsidRPr="00397B1C">
        <w:rPr>
          <w:color w:val="EE0000"/>
          <w:sz w:val="22"/>
        </w:rPr>
        <w:t xml:space="preserve"> (r = −0.04). Moreover, in saline–sodic soils, high electrolyte concentrations may partially suppress Na-induced clay dispersion by promoting flocculation, thereby attenuating some of the adverse physical effects of </w:t>
      </w:r>
      <w:proofErr w:type="spellStart"/>
      <w:r w:rsidRPr="00397B1C">
        <w:rPr>
          <w:color w:val="EE0000"/>
          <w:sz w:val="22"/>
        </w:rPr>
        <w:t>sodicity</w:t>
      </w:r>
      <w:proofErr w:type="spellEnd"/>
      <w:r w:rsidR="00934696">
        <w:rPr>
          <w:color w:val="EE0000"/>
          <w:sz w:val="22"/>
        </w:rPr>
        <w:t xml:space="preserve"> </w:t>
      </w:r>
      <w:r w:rsidR="00934696">
        <w:rPr>
          <w:color w:val="EE0000"/>
          <w:sz w:val="22"/>
        </w:rPr>
        <w:fldChar w:fldCharType="begin"/>
      </w:r>
      <w:r w:rsidR="00934696">
        <w:rPr>
          <w:color w:val="EE0000"/>
          <w:sz w:val="22"/>
        </w:rPr>
        <w:instrText xml:space="preserve"> ADDIN ZOTERO_ITEM CSL_CITATION {"citationID":"6C4zPqM7","properties":{"unsorted":false,"formattedCitation":"(Quispe et\\uc0\\u160{}al., 2026)","plainCitation":"(Quispe et al., 2026)","noteIndex":0},"citationItems":[{"id":692,"uris":["http://zotero.org/users/14068823/items/9G243MA9"],"itemData":{"id":692,"type":"article-journal","abstract":"High-Andean forage systems are characterized by extensive management of cultivated forages, primarily through rotation of forage oats (Avena sativa) and alfalfa (Medicago sativa), under marginal edaphoclimatic conditions. Within this context, soil sodicity severely constrains the productivity of these systems in the districts of Ayaviri and Macarí, Melgar Province, Peru. However, spatially explicit information on gypsum requirements (GR) for sodic-soil reclamation remains unavailable. To address this gap, this study aimed to: (i) develop a weighted Soil Quality Index (SQIw) for sodic soils, (ii) delineate sodicity-affected areas across districts, soil classes and environmental conditions and (iii) generate high-resolution maps of gypsum requirements using regression kriging (RK). A total of 1273 soil samples were analysed in high-altitude areas of Ayaviri and Macarí. Key sodicity-related variables included exchangeable sodium percentage (ESP), clay flocculating charge and Modified Soil-Adjusted Vegetation Index (MSAVI) selected through Pearson correlation and principal component analysis to construct the SQIw, while regression kriging was used to generate spatially explicit gypsum requirement maps. Results showed wide variability in pH and ESP, reflecting heterogeneous sodicity conditions across the study area, with Macarí presenting higher soil quality (SQIw = 0.61) than Ayaviri (SQIw = 0.44). Sandy loam soils and acid saline–sodic soils exhibited the greatest vulnerability. Regression kriging achieved high predictive accuracy for GR estimation (R2 = 0.97 in Ayaviri; R2 = 0.85 in Macarí), enabling precise delineation of priority intervention zones. The resulting GR maps provide a robust basis for site-specific gypsum application, improving amendment efficiency, reducing unnecessary costs and supporting sustainable sodicity management in vulnerable High-Andean agroecosystems.","container-title":"Soil Use and Management","DOI":"10.1111/sum.70255","ISSN":"1475-2743","issue":"3","language":"en","license":"© 2026 The Author(s). Soil Use and Management published by John Wiley &amp; Sons Ltd on behalf of British Society of Soil Science.","page":"e70255","source":"Wiley Online Library","title":"Spatial Variation of Acidic Sodic Soils in High-Andean Environments and Theoretical Estimation of Gypsum Requirement","volume":"42","author":[{"family":"Quispe","given":"Kenyi"},{"family":"Hermoza","given":"Nilton"},{"family":"Mejia","given":"Sharon"},{"family":"Ccosi","given":"Elvis"},{"family":"Miranda","given":"Dalmecio"},{"family":"Choquechambi","given":"Luz"},{"family":"Choquehuanca","given":"Katherin"},{"family":"Carrasco","given":"Edgar"},{"family":"Cuellar-Condori","given":"Néstor"}],"issued":{"date-parts":[["2026"]]}}}],"schema":"https://github.com/citation-style-language/schema/raw/master/csl-citation.json"} </w:instrText>
      </w:r>
      <w:r w:rsidR="00934696">
        <w:rPr>
          <w:color w:val="EE0000"/>
          <w:sz w:val="22"/>
        </w:rPr>
        <w:fldChar w:fldCharType="separate"/>
      </w:r>
      <w:r w:rsidR="00934696" w:rsidRPr="00934696">
        <w:rPr>
          <w:rFonts w:cs="Times New Roman"/>
          <w:sz w:val="22"/>
        </w:rPr>
        <w:t>(Quispe et al., 2026)</w:t>
      </w:r>
      <w:r w:rsidR="00934696">
        <w:rPr>
          <w:color w:val="EE0000"/>
          <w:sz w:val="22"/>
        </w:rPr>
        <w:fldChar w:fldCharType="end"/>
      </w:r>
      <w:r w:rsidRPr="00397B1C">
        <w:rPr>
          <w:color w:val="EE0000"/>
          <w:sz w:val="22"/>
        </w:rPr>
        <w:t xml:space="preserve">. Consequently, </w:t>
      </w:r>
      <w:proofErr w:type="spellStart"/>
      <w:r w:rsidRPr="00397B1C">
        <w:rPr>
          <w:color w:val="EE0000"/>
          <w:sz w:val="22"/>
        </w:rPr>
        <w:t>ECe</w:t>
      </w:r>
      <w:proofErr w:type="spellEnd"/>
      <w:r w:rsidRPr="00397B1C">
        <w:rPr>
          <w:color w:val="EE0000"/>
          <w:sz w:val="22"/>
        </w:rPr>
        <w:t xml:space="preserve"> alone did not reproduce the soil-quality gradient captured by the NDVI-related </w:t>
      </w:r>
      <w:proofErr w:type="spellStart"/>
      <w:r w:rsidRPr="00397B1C">
        <w:rPr>
          <w:color w:val="EE0000"/>
          <w:sz w:val="22"/>
        </w:rPr>
        <w:t>SQIw</w:t>
      </w:r>
      <w:proofErr w:type="spellEnd"/>
      <w:r w:rsidRPr="00397B1C">
        <w:rPr>
          <w:color w:val="EE0000"/>
          <w:sz w:val="22"/>
        </w:rPr>
        <w:t xml:space="preserve">, whereas </w:t>
      </w:r>
      <w:proofErr w:type="spellStart"/>
      <w:r w:rsidRPr="00397B1C">
        <w:rPr>
          <w:color w:val="EE0000"/>
          <w:sz w:val="22"/>
        </w:rPr>
        <w:t>sodicity</w:t>
      </w:r>
      <w:proofErr w:type="spellEnd"/>
      <w:r w:rsidRPr="00397B1C">
        <w:rPr>
          <w:color w:val="EE0000"/>
          <w:sz w:val="22"/>
        </w:rPr>
        <w:t xml:space="preserve"> showed a more consistent relationship with declining soil quality. These observations are consistent with</w:t>
      </w:r>
      <w:r w:rsidR="00934696">
        <w:rPr>
          <w:color w:val="EE0000"/>
          <w:sz w:val="22"/>
        </w:rPr>
        <w:t xml:space="preserve"> </w:t>
      </w:r>
      <w:r w:rsidR="00934696">
        <w:rPr>
          <w:color w:val="EE0000"/>
          <w:sz w:val="22"/>
        </w:rPr>
        <w:fldChar w:fldCharType="begin"/>
      </w:r>
      <w:r w:rsidR="00934696">
        <w:rPr>
          <w:color w:val="EE0000"/>
          <w:sz w:val="22"/>
        </w:rPr>
        <w:instrText xml:space="preserve"> ADDIN ZOTERO_ITEM CSL_CITATION {"citationID":"sPMfjESK","properties":{"unsorted":false,"formattedCitation":"(Chaudhry et\\uc0\\u160{}al., 2024)","plainCitation":"(Chaudhry et al., 2024)","noteIndex":0},"citationItems":[{"id":587,"uris":["http://zotero.org/users/14068823/items/NYMMYYFM"],"itemData":{"id":587,"type":"article-journal","abstract":"Soil health plays a crucial role in crop production, both in terms of quality and quantity, highlighting the importance of effective methods for preserving soil quality to ensure global food security. Soil quality indices (SQIs) have been widely utilized as comprehensive measures of soil function by integrating multiple physical, chemical, and biological soil properties. Traditional SQI analysis involves laborious and costly laboratory analyses, which limits its practicality. To overcome this limitation, our study explores the use of visible near-infrared (vis-NIR) spectroscopy as a rapid and non-destructive alternative for predicting soil properties and SQIs. This study specifically focused on seven soil indicators that contribute to soil fertility, including pH, organic matter (OM), potassium (K), calcium (Ca), magnesium (Mg), available phosphorous (P), and total nitrogen (TN). These properties play key roles in nutrient availability, pH regulation, and soil structure, influencing soil fertility and overall soil health. By utilizing vis-NIR spectroscopy, we were able to accurately predict the soil indicators with good accuracy using the Cubist model (R2 = 0.35–0.93), offering a cost-effective and environmentally friendly alternative to traditional laboratory analyses. Using the seven soil indicators, we looked at three different approaches for calculating and predicting the SQI, including: (1) measured SQI (SQI_m), which is derived from laboratory-measured soil properties; (2) predicted SQI (SQI_p), which is calculated using predicted soil properties from spectral data; and (3) direct prediction of SQI (SQI_dp), The findings demonstrated that SQI_dp exhibited a higher accuracy (R2 = 0.90) in predicting soil quality compared to SQI_p (R2 = 0.23).","container-title":"Sensors","DOI":"10.3390/s24030864","ISSN":"1424-8220","issue":"3","language":"en","license":"http://creativecommons.org/licenses/by/3.0/","page":"864","publisher":"Multidisciplinary Digital Publishing Institute","source":"www.mdpi.com","title":"Evaluating the Soil Quality Index Using Three Methods to Assess Soil Fertility","volume":"24","author":[{"family":"Chaudhry","given":"Hiba"},{"family":"Vasava","given":"Hiteshkumar Bhogilal"},{"family":"Chen","given":"Songchao"},{"family":"Saurette","given":"Daniel"},{"family":"Beri","given":"Anshu"},{"family":"Gillespie","given":"Adam"},{"family":"Biswas","given":"Asim"}],"issued":{"date-parts":[["2024",1]]}}}],"schema":"https://github.com/citation-style-language/schema/raw/master/csl-citation.json"} </w:instrText>
      </w:r>
      <w:r w:rsidR="00934696">
        <w:rPr>
          <w:color w:val="EE0000"/>
          <w:sz w:val="22"/>
        </w:rPr>
        <w:fldChar w:fldCharType="separate"/>
      </w:r>
      <w:r w:rsidR="00934696" w:rsidRPr="00934696">
        <w:rPr>
          <w:rFonts w:cs="Times New Roman"/>
          <w:sz w:val="22"/>
        </w:rPr>
        <w:t>(Chaudhry et al., 2024)</w:t>
      </w:r>
      <w:r w:rsidR="00934696">
        <w:rPr>
          <w:color w:val="EE0000"/>
          <w:sz w:val="22"/>
        </w:rPr>
        <w:fldChar w:fldCharType="end"/>
      </w:r>
      <w:r w:rsidRPr="00397B1C">
        <w:rPr>
          <w:color w:val="EE0000"/>
          <w:sz w:val="22"/>
        </w:rPr>
        <w:t>, who report the superiority of integrated soil-quality indices over univariate approaches, and with</w:t>
      </w:r>
      <w:r w:rsidR="00934696">
        <w:rPr>
          <w:color w:val="EE0000"/>
          <w:sz w:val="22"/>
        </w:rPr>
        <w:t xml:space="preserve"> </w:t>
      </w:r>
      <w:r w:rsidR="00934696">
        <w:rPr>
          <w:color w:val="EE0000"/>
          <w:sz w:val="22"/>
        </w:rPr>
        <w:fldChar w:fldCharType="begin"/>
      </w:r>
      <w:r w:rsidR="00934696">
        <w:rPr>
          <w:color w:val="EE0000"/>
          <w:sz w:val="22"/>
        </w:rPr>
        <w:instrText xml:space="preserve"> ADDIN ZOTERO_ITEM CSL_CITATION {"citationID":"QH3fychi","properties":{"unsorted":false,"formattedCitation":"(Abdu et\\uc0\\u160{}al., 2023)","plainCitation":"(Abdu et al., 2023)","noteIndex":0},"citationItems":[{"id":494,"uris":["http://zotero.org/users/14068823/items/PQICS2NW"],"itemData":{"id":494,"type":"article-journal","abstract":"Soil quality serves as the basis for both food security and environmental sustainability. To optimize production and implement soil management interventions, understanding the state of the soil quality is fundamental. Thus, this study was conducted to assess the soil quality of arable lands situated in the Nitisols and Luvisols using different assessment techniques. A total of 57 georeferenced soil samples were taken at a depth of 20 cm (18 from Nitisols and 39 from Luvisols land). The soil samples were analyzed for particle size distribution (PSD), texture, pH, organic carbon (OC), total nitrogen (TN), available phosphorus (P), sulfur (S), exchangeable bases (calcium (Ca), magnesium (Mg), and potassium (K)), soil micronutrients (boron (B), copper (Cu), iron (Fe), manganese (Mn), and zinc (Zn)), and cation exchange capacity (CEC). The techniques used to estimate soil quality includes principal component analysis (PCA), a normalized PCA, and common soil parameters (soil texture, pH, OC, N, P, and K). The results were expressed in terms of soil quality index (SQI). In addition, the soil fertility/nutrient/index (NI) approach was used. The result showed that the SQI values using the common parameters approach were 0.17 and 0.30 for the lands belonging to Nitisols and Luvisols and categorized as very poor (&lt;0.2) and poor (0.2–0.4) quality soils, respectively. PCA-SQI and normalized PCA-SQI values for lands in the Nitisols were 0.36 and 0.42, while for Luvisols they were 0.38 and 0.40, respectively. The soil quality of lands in the Luvisols was rated low (0.38–0.44), while lands in the Nitisols qualified under very low (&lt;0.38) and low soil quality, respectively. In addition, the value of 1.42 and 1.78 in their order for lands belonging to Nitisols and Luvisols were recorded using the NI method that indicated low and medium soil quality. In conclusion, PCA and common soil parameters techniques regardless of soil types offered consistently similar information and could be taken as useful techniques for aiding soil management interventions. Furthermore, the result also calls for the need for applying soil management practices.","container-title":"Applied and Environmental Soil Science","DOI":"10.1155/2023/6699154","ISSN":"1687-7675","issue":"1","language":"en","license":"Copyright © 2023 Abass Abdu et al.","note":"_eprint: https://onlinelibrary.wiley.com/doi/pdf/10.1155/2023/6699154","page":"6699154","source":"Wiley Online Library","title":"Explaining the Soil Quality Using Different Assessment Techniques","volume":"2023","author":[{"family":"Abdu","given":"Abass"},{"family":"Laekemariam","given":"Fanuel"},{"family":"Gidago","given":"Gifole"},{"family":"Getaneh","given":"Lakew"}],"issued":{"date-parts":[["2023"]]}}}],"schema":"https://github.com/citation-style-language/schema/raw/master/csl-citation.json"} </w:instrText>
      </w:r>
      <w:r w:rsidR="00934696">
        <w:rPr>
          <w:color w:val="EE0000"/>
          <w:sz w:val="22"/>
        </w:rPr>
        <w:fldChar w:fldCharType="separate"/>
      </w:r>
      <w:r w:rsidR="00934696" w:rsidRPr="00934696">
        <w:rPr>
          <w:rFonts w:cs="Times New Roman"/>
          <w:sz w:val="22"/>
        </w:rPr>
        <w:t xml:space="preserve">Abdu et al. </w:t>
      </w:r>
      <w:r w:rsidR="00934696">
        <w:rPr>
          <w:rFonts w:cs="Times New Roman"/>
          <w:sz w:val="22"/>
        </w:rPr>
        <w:t>(</w:t>
      </w:r>
      <w:r w:rsidR="00934696" w:rsidRPr="00934696">
        <w:rPr>
          <w:rFonts w:cs="Times New Roman"/>
          <w:sz w:val="22"/>
        </w:rPr>
        <w:t>2023)</w:t>
      </w:r>
      <w:r w:rsidR="00934696">
        <w:rPr>
          <w:color w:val="EE0000"/>
          <w:sz w:val="22"/>
        </w:rPr>
        <w:fldChar w:fldCharType="end"/>
      </w:r>
      <w:r w:rsidRPr="00397B1C">
        <w:rPr>
          <w:color w:val="EE0000"/>
          <w:sz w:val="22"/>
        </w:rPr>
        <w:t>, who emphasize the central role of soil quality in sustainable fertilizer management.</w:t>
      </w:r>
    </w:p>
    <w:p w14:paraId="086506E7" w14:textId="3DB4D848" w:rsidR="003B41E9" w:rsidRPr="00AF223D" w:rsidRDefault="00000000">
      <w:pPr>
        <w:rPr>
          <w:sz w:val="22"/>
        </w:rPr>
      </w:pPr>
      <w:r w:rsidRPr="00AF223D">
        <w:rPr>
          <w:sz w:val="22"/>
        </w:rPr>
        <w:t xml:space="preserve">Soils classified from medium to very low quality exhibited greater </w:t>
      </w:r>
      <w:proofErr w:type="spellStart"/>
      <w:r w:rsidRPr="00AF223D">
        <w:rPr>
          <w:sz w:val="22"/>
        </w:rPr>
        <w:t>sodicity</w:t>
      </w:r>
      <w:proofErr w:type="spellEnd"/>
      <w:r w:rsidRPr="00AF223D">
        <w:rPr>
          <w:sz w:val="22"/>
        </w:rPr>
        <w:t xml:space="preserve"> (ESP between 5.96 ± 4.87 and 11.51 ± 7.03%), concomitant with progressive increases in bulk density from 1.49 ± 0.04 to 1.56 ± 0.06 g cm⁻³. Approximately </w:t>
      </w:r>
      <w:r w:rsidR="005B24A4" w:rsidRPr="005B24A4">
        <w:rPr>
          <w:sz w:val="22"/>
        </w:rPr>
        <w:t xml:space="preserve">26.64% </w:t>
      </w:r>
      <w:r w:rsidRPr="00AF223D">
        <w:rPr>
          <w:sz w:val="22"/>
        </w:rPr>
        <w:t>of the total agricultural area was affected by loss of soil physical fertility (</w:t>
      </w:r>
      <w:r w:rsidR="005B24A4" w:rsidRPr="005B24A4">
        <w:rPr>
          <w:sz w:val="22"/>
        </w:rPr>
        <w:t xml:space="preserve">R² = 0.3398; RMSE = </w:t>
      </w:r>
      <w:proofErr w:type="gramStart"/>
      <w:r w:rsidR="005B24A4" w:rsidRPr="005B24A4">
        <w:rPr>
          <w:sz w:val="22"/>
        </w:rPr>
        <w:t>0.1444</w:t>
      </w:r>
      <w:r w:rsidR="005B24A4">
        <w:rPr>
          <w:sz w:val="22"/>
        </w:rPr>
        <w:t xml:space="preserve"> </w:t>
      </w:r>
      <w:r w:rsidRPr="00AF223D">
        <w:rPr>
          <w:sz w:val="22"/>
        </w:rPr>
        <w:t>)</w:t>
      </w:r>
      <w:proofErr w:type="gramEnd"/>
      <w:r w:rsidRPr="00AF223D">
        <w:rPr>
          <w:sz w:val="22"/>
        </w:rPr>
        <w:t xml:space="preserve">. The districts of La </w:t>
      </w:r>
      <w:proofErr w:type="spellStart"/>
      <w:r w:rsidRPr="00AF223D">
        <w:rPr>
          <w:sz w:val="22"/>
        </w:rPr>
        <w:t>Matanza</w:t>
      </w:r>
      <w:proofErr w:type="spellEnd"/>
      <w:r w:rsidRPr="00AF223D">
        <w:rPr>
          <w:sz w:val="22"/>
        </w:rPr>
        <w:t xml:space="preserve"> and </w:t>
      </w:r>
      <w:proofErr w:type="spellStart"/>
      <w:r w:rsidRPr="00AF223D">
        <w:rPr>
          <w:sz w:val="22"/>
        </w:rPr>
        <w:t>Chulucanas</w:t>
      </w:r>
      <w:proofErr w:type="spellEnd"/>
      <w:r w:rsidRPr="00AF223D">
        <w:rPr>
          <w:sz w:val="22"/>
        </w:rPr>
        <w:t xml:space="preserve"> accounted for the largest proportion of land with low and very low soil quality (</w:t>
      </w:r>
      <w:r w:rsidR="009106F8" w:rsidRPr="00397B1C">
        <w:rPr>
          <w:color w:val="EE0000"/>
          <w:sz w:val="22"/>
        </w:rPr>
        <w:t xml:space="preserve">54.33% </w:t>
      </w:r>
      <w:r w:rsidRPr="00AF223D">
        <w:rPr>
          <w:sz w:val="22"/>
        </w:rPr>
        <w:t xml:space="preserve">and </w:t>
      </w:r>
      <w:r w:rsidR="00092015" w:rsidRPr="00397B1C">
        <w:rPr>
          <w:color w:val="EE0000"/>
          <w:sz w:val="22"/>
        </w:rPr>
        <w:t>49.97</w:t>
      </w:r>
      <w:r w:rsidRPr="00AF223D">
        <w:rPr>
          <w:sz w:val="22"/>
        </w:rPr>
        <w:t>%, respectively). Notably, the very-low-quality class (</w:t>
      </w:r>
      <w:r w:rsidR="00092015" w:rsidRPr="00397B1C">
        <w:rPr>
          <w:color w:val="EE0000"/>
          <w:sz w:val="22"/>
        </w:rPr>
        <w:t xml:space="preserve">894.90 </w:t>
      </w:r>
      <w:r w:rsidRPr="00AF223D">
        <w:rPr>
          <w:sz w:val="22"/>
        </w:rPr>
        <w:t xml:space="preserve">ha) also exhibited alkalinity issues (pH = 7.72 ± 0.54) together with low K (116.50 ± 211.8 mg kg⁻¹) and Ca (8.93 ± 3.44 </w:t>
      </w:r>
      <w:proofErr w:type="spellStart"/>
      <w:r w:rsidRPr="00AF223D">
        <w:rPr>
          <w:sz w:val="22"/>
        </w:rPr>
        <w:t>cmol</w:t>
      </w:r>
      <w:proofErr w:type="spellEnd"/>
      <w:r w:rsidRPr="00AF223D">
        <w:rPr>
          <w:sz w:val="22"/>
        </w:rPr>
        <w:t xml:space="preserve"> kg⁻¹) contents.</w:t>
      </w:r>
    </w:p>
    <w:p w14:paraId="26C68EE8" w14:textId="77777777" w:rsidR="003B41E9" w:rsidRPr="00AF223D" w:rsidRDefault="00000000">
      <w:pPr>
        <w:rPr>
          <w:sz w:val="22"/>
        </w:rPr>
      </w:pPr>
      <w:r w:rsidRPr="00AF223D">
        <w:rPr>
          <w:sz w:val="22"/>
        </w:rPr>
        <w:t xml:space="preserve">Comparative analysis further corroborated that </w:t>
      </w:r>
      <w:proofErr w:type="spellStart"/>
      <w:r w:rsidRPr="00AF223D">
        <w:rPr>
          <w:sz w:val="22"/>
        </w:rPr>
        <w:t>SQIw</w:t>
      </w:r>
      <w:proofErr w:type="spellEnd"/>
      <w:r w:rsidRPr="00AF223D">
        <w:rPr>
          <w:sz w:val="22"/>
        </w:rPr>
        <w:t xml:space="preserve"> is highly sensitive for discriminating distinct modes of degradation in </w:t>
      </w:r>
      <w:proofErr w:type="spellStart"/>
      <w:r w:rsidRPr="00AF223D">
        <w:rPr>
          <w:sz w:val="22"/>
        </w:rPr>
        <w:t>Morropón’s</w:t>
      </w:r>
      <w:proofErr w:type="spellEnd"/>
      <w:r w:rsidRPr="00AF223D">
        <w:rPr>
          <w:sz w:val="22"/>
        </w:rPr>
        <w:t xml:space="preserve"> arid soils. Lower quality soils were classified as sodic (neutral sodic), saline-sodic (neutral saline-sodic), and alkaline saline-sodic, showing a progressive decline in quality (median </w:t>
      </w:r>
      <w:proofErr w:type="spellStart"/>
      <w:r w:rsidRPr="00AF223D">
        <w:rPr>
          <w:sz w:val="22"/>
        </w:rPr>
        <w:t>SQIw</w:t>
      </w:r>
      <w:proofErr w:type="spellEnd"/>
      <w:r w:rsidRPr="00AF223D">
        <w:rPr>
          <w:sz w:val="22"/>
        </w:rPr>
        <w:t xml:space="preserve"> values between 0.45 and 0.34). These outcomes align with climatic effects on soil quality: hyper-arid conditions, characterized by year-round water deficit, exhibited significantly lower </w:t>
      </w:r>
      <w:proofErr w:type="spellStart"/>
      <w:r w:rsidRPr="00AF223D">
        <w:rPr>
          <w:sz w:val="22"/>
        </w:rPr>
        <w:t>SQIw</w:t>
      </w:r>
      <w:proofErr w:type="spellEnd"/>
      <w:r w:rsidRPr="00AF223D">
        <w:rPr>
          <w:sz w:val="22"/>
        </w:rPr>
        <w:t xml:space="preserve"> (median = 0.46) than semi-arid environments subject to episodic rainfall (adjusted P &lt; 0.0001).</w:t>
      </w:r>
    </w:p>
    <w:p w14:paraId="2A651C98" w14:textId="65B92C24" w:rsidR="003B41E9" w:rsidRPr="00AF223D" w:rsidRDefault="00000000">
      <w:pPr>
        <w:rPr>
          <w:sz w:val="22"/>
        </w:rPr>
      </w:pPr>
      <w:r w:rsidRPr="00AF223D">
        <w:rPr>
          <w:sz w:val="22"/>
        </w:rPr>
        <w:t xml:space="preserve">These findings reinforce mechanistic linkages between climatic regimes and pedogenetic processes that govern soil quality in arid and semi-arid environments. In semi-arid climates with seasonal moisture pulses, infiltration </w:t>
      </w:r>
      <w:r w:rsidRPr="00AF223D">
        <w:rPr>
          <w:sz w:val="22"/>
        </w:rPr>
        <w:lastRenderedPageBreak/>
        <w:t xml:space="preserve">and runoff events promote active transport processes, including salt redistribution and leaching of exchangeable sodium, which can ameliorate </w:t>
      </w:r>
      <w:proofErr w:type="spellStart"/>
      <w:r w:rsidRPr="00AF223D">
        <w:rPr>
          <w:sz w:val="22"/>
        </w:rPr>
        <w:t>sodicity</w:t>
      </w:r>
      <w:proofErr w:type="spellEnd"/>
      <w:r w:rsidRPr="00AF223D">
        <w:rPr>
          <w:sz w:val="22"/>
        </w:rPr>
        <w:t xml:space="preserve"> and sustain higher </w:t>
      </w:r>
      <w:proofErr w:type="spellStart"/>
      <w:r w:rsidRPr="00AF223D">
        <w:rPr>
          <w:sz w:val="22"/>
        </w:rPr>
        <w:t>SQIw</w:t>
      </w:r>
      <w:proofErr w:type="spellEnd"/>
      <w:r w:rsidRPr="00AF223D">
        <w:rPr>
          <w:sz w:val="22"/>
        </w:rPr>
        <w:t xml:space="preserve"> values</w:t>
      </w:r>
      <w:r w:rsidR="00934696">
        <w:rPr>
          <w:sz w:val="22"/>
        </w:rPr>
        <w:t xml:space="preserve"> </w:t>
      </w:r>
      <w:r w:rsidR="00934696">
        <w:rPr>
          <w:sz w:val="22"/>
        </w:rPr>
        <w:fldChar w:fldCharType="begin"/>
      </w:r>
      <w:r w:rsidR="00934696">
        <w:rPr>
          <w:sz w:val="22"/>
        </w:rPr>
        <w:instrText xml:space="preserve"> ADDIN ZOTERO_ITEM CSL_CITATION {"citationID":"yMeBKYdN","properties":{"unsorted":false,"formattedCitation":"(Stavi et\\uc0\\u160{}al., 2021)","plainCitation":"(Stavi et al., 2021)","noteIndex":0},"citationItems":[{"id":497,"uris":["http://zotero.org/users/14068823/items/BDA3IKWC"],"itemData":{"id":497,"type":"article-journal","abstract":"Soil salinization and sodification are common processes that particularly characterize drylands. These processes can be attributed either to natural conditions or anthropogenic activities. While natural causes include factors such as climate, lithology, topography, and pedology, human causes are mostly related to agricultural land-use, and specifically, to irrigated agriculture. The objective of this study was to thoroughly review this topic, while highlighting the major challenges and related opportunities. Over time, the extent of saline, sodic, and saline-sodic croplands has increased, resulting in accelerated land degradation and desertification, decreased agricultural productivity, and consequently jeopardizing environmental and food security. Mapping and monitoring saline soils is an important management tool, aimed at determining the extent and severity of salinization processes. Recent developments in advanced remote sensing methods have improved the efficacy of mapping and monitoring saline soils. Knowledge on prevention, mitigation, and recovery of soil salinity and sodicity has substantially grown over time. This knowledge includes advanced measures for salt flushing and leaching, water-saving irrigation technologies, precision fertilizer systems, chemical restoration, organic and microbial remediation, and phytoremediation of affected lands. Of a particular interest is the development of forestry-related means, with afforestation, reforestation, agroforestry, and silvopasture practices for the recovery of salt-affected soils. The forecasted expansion of drylands and aggravated drying of existing drylands due to climatic change emphasize the importance of this topic.","container-title":"Frontiers in Environmental Science","DOI":"10.3389/fenvs.2021.712831","ISSN":"2296-665X","journalAbbreviation":"Front. Environ. Sci.","language":"English","publisher":"Frontiers","source":"Frontiers","title":"Soil Salinity and Sodicity in Drylands: A Review of Causes, Effects, Monitoring, and Restoration Measures","title-short":"Soil Salinity and Sodicity in Drylands","URL":"https://www.frontiersin.org/journals/environmental-science/articles/10.3389/fenvs.2021.712831/full","volume":"9","author":[{"family":"Stavi","given":"Ilan"},{"family":"Thevs","given":"Niels"},{"family":"Priori","given":"Simone"}],"accessed":{"date-parts":[["2025",12,22]]},"issued":{"date-parts":[["2021",8,11]]}}}],"schema":"https://github.com/citation-style-language/schema/raw/master/csl-citation.json"} </w:instrText>
      </w:r>
      <w:r w:rsidR="00934696">
        <w:rPr>
          <w:sz w:val="22"/>
        </w:rPr>
        <w:fldChar w:fldCharType="separate"/>
      </w:r>
      <w:r w:rsidR="00934696" w:rsidRPr="00934696">
        <w:rPr>
          <w:rFonts w:cs="Times New Roman"/>
          <w:sz w:val="22"/>
        </w:rPr>
        <w:t>(</w:t>
      </w:r>
      <w:proofErr w:type="spellStart"/>
      <w:r w:rsidR="00934696" w:rsidRPr="00934696">
        <w:rPr>
          <w:rFonts w:cs="Times New Roman"/>
          <w:sz w:val="22"/>
        </w:rPr>
        <w:t>Stavi</w:t>
      </w:r>
      <w:proofErr w:type="spellEnd"/>
      <w:r w:rsidR="00934696" w:rsidRPr="00934696">
        <w:rPr>
          <w:rFonts w:cs="Times New Roman"/>
          <w:sz w:val="22"/>
        </w:rPr>
        <w:t xml:space="preserve"> et al., 2021)</w:t>
      </w:r>
      <w:r w:rsidR="00934696">
        <w:rPr>
          <w:sz w:val="22"/>
        </w:rPr>
        <w:fldChar w:fldCharType="end"/>
      </w:r>
      <w:r w:rsidRPr="00AF223D">
        <w:rPr>
          <w:sz w:val="22"/>
        </w:rPr>
        <w:t xml:space="preserve">. Conversely, under extreme aridity, the near absence of effective moisture constrains mobility and leaching, favoring the persistence and surface accumulation of deleterious salts and, consequently, lower </w:t>
      </w:r>
      <w:proofErr w:type="spellStart"/>
      <w:r w:rsidRPr="00AF223D">
        <w:rPr>
          <w:sz w:val="22"/>
        </w:rPr>
        <w:t>SQIw</w:t>
      </w:r>
      <w:proofErr w:type="spellEnd"/>
      <w:r w:rsidRPr="00AF223D">
        <w:rPr>
          <w:sz w:val="22"/>
        </w:rPr>
        <w:t xml:space="preserve"> scores</w:t>
      </w:r>
      <w:r w:rsidR="00934696">
        <w:rPr>
          <w:sz w:val="22"/>
        </w:rPr>
        <w:t xml:space="preserve"> </w:t>
      </w:r>
      <w:r w:rsidR="00934696">
        <w:rPr>
          <w:sz w:val="22"/>
        </w:rPr>
        <w:fldChar w:fldCharType="begin"/>
      </w:r>
      <w:r w:rsidR="00934696">
        <w:rPr>
          <w:sz w:val="22"/>
        </w:rPr>
        <w:instrText xml:space="preserve"> ADDIN ZOTERO_ITEM CSL_CITATION {"citationID":"cRF4935s","properties":{"unsorted":false,"formattedCitation":"(Hassani et\\uc0\\u160{}al., 2021)","plainCitation":"(Hassani et al., 2021)","noteIndex":0},"citationItems":[{"id":499,"uris":["http://zotero.org/users/14068823/items/KFC8PKYR"],"itemData":{"id":499,"type":"article-journal","abstract":"Soil salinization has become one of the major environmental and socioeconomic issues globally and this is expected to be exacerbated further with projected climatic change. Determining how climate change influences the dynamics of naturally-occurring soil salinization has scarcely been addressed due to highly complex processes influencing salinization. This paper sets out to address this long-standing challenge by developing data-driven models capable of predicting primary (naturally-occurring) soil salinity and its variations in the world’s drylands up to the year 2100 under changing climate. Analysis of the future predictions made here identifies the dryland areas of South America, southern and western Australia, Mexico, southwest United States, and South Africa as the salinization hotspots. Conversely, we project a decrease in the soil salinity of the drylands in the northwest United States, the Horn of Africa, Eastern Europe, Turkmenistan, and west Kazakhstan in response to climate change over the same period.","container-title":"Nature Communications","DOI":"10.1038/s41467-021-26907-3","ISSN":"2041-1723","issue":"1","journalAbbreviation":"Nat Commun","language":"en","license":"2021 The Author(s)","page":"6663","publisher":"Nature Publishing Group","source":"www.nature.com","title":"Global predictions of primary soil salinization under changing climate in the 21st century","volume":"12","author":[{"family":"Hassani","given":"Amirhossein"},{"family":"Azapagic","given":"Adisa"},{"family":"Shokri","given":"Nima"}],"issued":{"date-parts":[["2021",11,18]]}}}],"schema":"https://github.com/citation-style-language/schema/raw/master/csl-citation.json"} </w:instrText>
      </w:r>
      <w:r w:rsidR="00934696">
        <w:rPr>
          <w:sz w:val="22"/>
        </w:rPr>
        <w:fldChar w:fldCharType="separate"/>
      </w:r>
      <w:r w:rsidR="00934696" w:rsidRPr="00934696">
        <w:rPr>
          <w:rFonts w:cs="Times New Roman"/>
          <w:sz w:val="22"/>
        </w:rPr>
        <w:t>(Hassani et al., 2021)</w:t>
      </w:r>
      <w:r w:rsidR="00934696">
        <w:rPr>
          <w:sz w:val="22"/>
        </w:rPr>
        <w:fldChar w:fldCharType="end"/>
      </w:r>
      <w:r w:rsidRPr="00AF223D">
        <w:rPr>
          <w:sz w:val="22"/>
        </w:rPr>
        <w:t xml:space="preserve">. Consistent with these mechanisms, recent studies demonstrate that salinization and </w:t>
      </w:r>
      <w:proofErr w:type="spellStart"/>
      <w:r w:rsidRPr="00AF223D">
        <w:rPr>
          <w:sz w:val="22"/>
        </w:rPr>
        <w:t>sodification</w:t>
      </w:r>
      <w:proofErr w:type="spellEnd"/>
      <w:r w:rsidRPr="00AF223D">
        <w:rPr>
          <w:sz w:val="22"/>
        </w:rPr>
        <w:t xml:space="preserve"> dynamics are strongly modulated by the seasonal variability of precipitation, with direct implications for the spatial distribution of </w:t>
      </w:r>
      <w:proofErr w:type="spellStart"/>
      <w:r w:rsidRPr="00AF223D">
        <w:rPr>
          <w:sz w:val="22"/>
        </w:rPr>
        <w:t>ECe</w:t>
      </w:r>
      <w:proofErr w:type="spellEnd"/>
      <w:r w:rsidRPr="00AF223D">
        <w:rPr>
          <w:sz w:val="22"/>
        </w:rPr>
        <w:t xml:space="preserve"> and ESP</w:t>
      </w:r>
      <w:r w:rsidR="00934696">
        <w:rPr>
          <w:sz w:val="22"/>
        </w:rPr>
        <w:t xml:space="preserve"> </w:t>
      </w:r>
      <w:r w:rsidR="00934696">
        <w:rPr>
          <w:sz w:val="22"/>
        </w:rPr>
        <w:fldChar w:fldCharType="begin"/>
      </w:r>
      <w:r w:rsidR="00934696">
        <w:rPr>
          <w:sz w:val="22"/>
        </w:rPr>
        <w:instrText xml:space="preserve"> ADDIN ZOTERO_ITEM CSL_CITATION {"citationID":"ulAsEnUE","properties":{"unsorted":false,"formattedCitation":"(Hassani et\\uc0\\u160{}al., 2020)","plainCitation":"(Hassani et al., 2020)","noteIndex":0},"citationItems":[{"id":501,"uris":["http://zotero.org/users/14068823/items/RBFM2S9G"],"itemData":{"id":501,"type":"article-journal","abstract":"Knowledge of spatiotemporal distribution and likelihood of (re)occurrence of salt-affected soils is crucial to our understanding of land degradation and for planning effective remediation strategies in face of future climatic uncertainties. However, conventional methods used for tracking the variability of soil salinity/sodicity are extensively localized, making predictions on a global scale difficult. Here, we employ machine-learning techniques and a comprehensive set of climatic, topographic, soil, and remote sensing data to develop models capable of making predictions of soil salinity (expressed as electrical conductivity of saturated soil extract) and sodicity (measured as soil exchangeable sodium percentage) at different longitudes, latitudes, soil depths, and time periods. Using these predictive models, we provide a global-scale quantitative and gridded dataset characterizing different spatiotemporal facets of soil salinity and sodicity variability over the past four decades at a </w:instrText>
      </w:r>
      <w:r w:rsidR="00934696">
        <w:rPr>
          <w:rFonts w:ascii="Cambria Math" w:hAnsi="Cambria Math" w:cs="Cambria Math"/>
          <w:sz w:val="22"/>
        </w:rPr>
        <w:instrText>∼</w:instrText>
      </w:r>
      <w:r w:rsidR="00934696">
        <w:rPr>
          <w:sz w:val="22"/>
        </w:rPr>
        <w:instrText xml:space="preserve">1-km resolution. Analysis of this dataset reveals that a soil area of 11.73 Mkm2 located in nonfrigid zones has been salt-affected with a frequency of reoccurrence in at least three-fourths of the years between 1980 and 2018, with 0.16 Mkm2 of this area being croplands. Although the net changes in soil salinity/sodicity and the total area of salt-affected soils have been geographically highly variable, the continents with the highest salt-affected areas are Asia (particularly China, Kazakhstan, and Iran), Africa, and Australia. The proposed method can also be applied for quantifying the spatiotemporal variability of other dynamic soil properties, such as soil nutrients, organic carbon content, and pH.","container-title":"Proceedings of the National Academy of Sciences","DOI":"10.1073/pnas.2013771117","issue":"52","page":"33017-33027","publisher":"Proceedings of the National Academy of Sciences","source":"pnas.org (Atypon)","title":"Predicting long-term dynamics of soil salinity and sodicity on a global scale","volume":"117","author":[{"family":"Hassani","given":"Amirhossein"},{"family":"Azapagic","given":"Adisa"},{"family":"Shokri","given":"Nima"}],"issued":{"date-parts":[["2020",12,29]]}}}],"schema":"https://github.com/citation-style-language/schema/raw/master/csl-citation.json"} </w:instrText>
      </w:r>
      <w:r w:rsidR="00934696">
        <w:rPr>
          <w:sz w:val="22"/>
        </w:rPr>
        <w:fldChar w:fldCharType="separate"/>
      </w:r>
      <w:r w:rsidR="00934696" w:rsidRPr="00934696">
        <w:rPr>
          <w:rFonts w:cs="Times New Roman"/>
          <w:sz w:val="22"/>
        </w:rPr>
        <w:t>(Hassani et al., 2020)</w:t>
      </w:r>
      <w:r w:rsidR="00934696">
        <w:rPr>
          <w:sz w:val="22"/>
        </w:rPr>
        <w:fldChar w:fldCharType="end"/>
      </w:r>
      <w:r w:rsidRPr="00AF223D">
        <w:rPr>
          <w:sz w:val="22"/>
        </w:rPr>
        <w:t xml:space="preserve">. Collectively, the evidence supports the use of integrated soil-quality indices as robust, sensitive tools for synthesizing multiple </w:t>
      </w:r>
      <w:proofErr w:type="spellStart"/>
      <w:r w:rsidRPr="00AF223D">
        <w:rPr>
          <w:sz w:val="22"/>
        </w:rPr>
        <w:t>physico</w:t>
      </w:r>
      <w:proofErr w:type="spellEnd"/>
      <w:r w:rsidRPr="00AF223D">
        <w:rPr>
          <w:sz w:val="22"/>
        </w:rPr>
        <w:t>-chemical attributes and discriminating edaphoclimatic conditions of relevance to the management and remediation of saline-sodic soils.</w:t>
      </w:r>
    </w:p>
    <w:p w14:paraId="0406C38C" w14:textId="77777777" w:rsidR="003B41E9" w:rsidRPr="00AF223D" w:rsidRDefault="00000000">
      <w:pPr>
        <w:pStyle w:val="Ttulo2"/>
        <w:rPr>
          <w:sz w:val="22"/>
          <w:szCs w:val="22"/>
        </w:rPr>
      </w:pPr>
      <w:bookmarkStart w:id="36" w:name="X0a59f8c5c6158b9438c45dcafd696f54a979cdf"/>
      <w:bookmarkEnd w:id="35"/>
      <w:r w:rsidRPr="00AF223D">
        <w:rPr>
          <w:sz w:val="22"/>
          <w:szCs w:val="22"/>
        </w:rPr>
        <w:t>Spatial patterns of soil quality and their agronomic significance for mango and banana systems</w:t>
      </w:r>
    </w:p>
    <w:p w14:paraId="12887A8C" w14:textId="77777777" w:rsidR="003B41E9" w:rsidRPr="00AF223D" w:rsidRDefault="00000000">
      <w:pPr>
        <w:rPr>
          <w:sz w:val="22"/>
        </w:rPr>
      </w:pPr>
      <w:r w:rsidRPr="00AF223D">
        <w:rPr>
          <w:sz w:val="22"/>
        </w:rPr>
        <w:t xml:space="preserve">These edaphic constraints exert direct and synergistic impacts on the yield and nutritional status of mango and banana, which together constitute 64.5% of the crops cultivated on the soils analyzed in </w:t>
      </w:r>
      <w:proofErr w:type="spellStart"/>
      <w:r w:rsidRPr="00AF223D">
        <w:rPr>
          <w:sz w:val="22"/>
        </w:rPr>
        <w:t>Morropón</w:t>
      </w:r>
      <w:proofErr w:type="spellEnd"/>
      <w:r w:rsidRPr="00AF223D">
        <w:rPr>
          <w:sz w:val="22"/>
        </w:rPr>
        <w:t xml:space="preserve"> Province. Elevated </w:t>
      </w:r>
      <w:proofErr w:type="spellStart"/>
      <w:r w:rsidRPr="00AF223D">
        <w:rPr>
          <w:sz w:val="22"/>
        </w:rPr>
        <w:t>sodicity</w:t>
      </w:r>
      <w:proofErr w:type="spellEnd"/>
      <w:r w:rsidRPr="00AF223D">
        <w:rPr>
          <w:sz w:val="22"/>
        </w:rPr>
        <w:t>, salinity and alkalinity are therefore principal limiting factors for the productivity of both fruit systems under arid and semi-arid conditions.</w:t>
      </w:r>
    </w:p>
    <w:p w14:paraId="18D2188A" w14:textId="0734554C" w:rsidR="003B41E9" w:rsidRPr="00AF223D" w:rsidRDefault="00000000">
      <w:pPr>
        <w:rPr>
          <w:sz w:val="22"/>
        </w:rPr>
      </w:pPr>
      <w:r w:rsidRPr="00AF223D">
        <w:rPr>
          <w:sz w:val="22"/>
        </w:rPr>
        <w:t xml:space="preserve">Excess exchangeable Na⁺ induces dispersion of soil fines, aggregate destabilization, reduced </w:t>
      </w:r>
      <w:proofErr w:type="spellStart"/>
      <w:r w:rsidRPr="00AF223D">
        <w:rPr>
          <w:sz w:val="22"/>
        </w:rPr>
        <w:t>macroporosity</w:t>
      </w:r>
      <w:proofErr w:type="spellEnd"/>
      <w:r w:rsidRPr="00AF223D">
        <w:rPr>
          <w:sz w:val="22"/>
        </w:rPr>
        <w:t xml:space="preserve"> and increased bulk density, with consequent declines in infiltration and effective rooting depth </w:t>
      </w:r>
      <w:r w:rsidR="00934696">
        <w:rPr>
          <w:sz w:val="22"/>
        </w:rPr>
        <w:fldChar w:fldCharType="begin"/>
      </w:r>
      <w:r w:rsidR="00934696">
        <w:rPr>
          <w:sz w:val="22"/>
        </w:rPr>
        <w:instrText xml:space="preserve"> ADDIN ZOTERO_ITEM CSL_CITATION {"citationID":"L68X1yEy","properties":{"unsorted":false,"formattedCitation":"(Stavi et\\uc0\\u160{}al., 2021)","plainCitation":"(Stavi et al., 2021)","noteIndex":0},"citationItems":[{"id":497,"uris":["http://zotero.org/users/14068823/items/BDA3IKWC"],"itemData":{"id":497,"type":"article-journal","abstract":"Soil salinization and sodification are common processes that particularly characterize drylands. These processes can be attributed either to natural conditions or anthropogenic activities. While natural causes include factors such as climate, lithology, topography, and pedology, human causes are mostly related to agricultural land-use, and specifically, to irrigated agriculture. The objective of this study was to thoroughly review this topic, while highlighting the major challenges and related opportunities. Over time, the extent of saline, sodic, and saline-sodic croplands has increased, resulting in accelerated land degradation and desertification, decreased agricultural productivity, and consequently jeopardizing environmental and food security. Mapping and monitoring saline soils is an important management tool, aimed at determining the extent and severity of salinization processes. Recent developments in advanced remote sensing methods have improved the efficacy of mapping and monitoring saline soils. Knowledge on prevention, mitigation, and recovery of soil salinity and sodicity has substantially grown over time. This knowledge includes advanced measures for salt flushing and leaching, water-saving irrigation technologies, precision fertilizer systems, chemical restoration, organic and microbial remediation, and phytoremediation of affected lands. Of a particular interest is the development of forestry-related means, with afforestation, reforestation, agroforestry, and silvopasture practices for the recovery of salt-affected soils. The forecasted expansion of drylands and aggravated drying of existing drylands due to climatic change emphasize the importance of this topic.","container-title":"Frontiers in Environmental Science","DOI":"10.3389/fenvs.2021.712831","ISSN":"2296-665X","journalAbbreviation":"Front. Environ. Sci.","language":"English","publisher":"Frontiers","source":"Frontiers","title":"Soil Salinity and Sodicity in Drylands: A Review of Causes, Effects, Monitoring, and Restoration Measures","title-short":"Soil Salinity and Sodicity in Drylands","URL":"https://www.frontiersin.org/journals/environmental-science/articles/10.3389/fenvs.2021.712831/full","volume":"9","author":[{"family":"Stavi","given":"Ilan"},{"family":"Thevs","given":"Niels"},{"family":"Priori","given":"Simone"}],"accessed":{"date-parts":[["2025",12,22]]},"issued":{"date-parts":[["2021",8,11]]}}}],"schema":"https://github.com/citation-style-language/schema/raw/master/csl-citation.json"} </w:instrText>
      </w:r>
      <w:r w:rsidR="00934696">
        <w:rPr>
          <w:sz w:val="22"/>
        </w:rPr>
        <w:fldChar w:fldCharType="separate"/>
      </w:r>
      <w:r w:rsidR="00934696" w:rsidRPr="00934696">
        <w:rPr>
          <w:rFonts w:cs="Times New Roman"/>
          <w:sz w:val="22"/>
        </w:rPr>
        <w:t>(Stavi et al., 2021)</w:t>
      </w:r>
      <w:r w:rsidR="00934696">
        <w:rPr>
          <w:sz w:val="22"/>
        </w:rPr>
        <w:fldChar w:fldCharType="end"/>
      </w:r>
      <w:r w:rsidRPr="00AF223D">
        <w:rPr>
          <w:sz w:val="22"/>
        </w:rPr>
        <w:t>. Such physical alterations restrict exploration of the plant-available soil volume and thereby limit water and nutrient uptake by tree crops</w:t>
      </w:r>
      <w:r w:rsidR="00934696">
        <w:rPr>
          <w:sz w:val="22"/>
        </w:rPr>
        <w:t xml:space="preserve"> </w:t>
      </w:r>
      <w:r w:rsidR="00934696">
        <w:rPr>
          <w:sz w:val="22"/>
        </w:rPr>
        <w:fldChar w:fldCharType="begin"/>
      </w:r>
      <w:r w:rsidR="00934696">
        <w:rPr>
          <w:sz w:val="22"/>
        </w:rPr>
        <w:instrText xml:space="preserve"> ADDIN ZOTERO_ITEM CSL_CITATION {"citationID":"24BgmnYh","properties":{"unsorted":false,"formattedCitation":"(Priori et\\uc0\\u160{}al., 2021)","plainCitation":"(Priori et al., 2021)","noteIndex":0},"citationItems":[{"id":503,"uris":["http://zotero.org/users/14068823/items/WFU5EU5S"],"itemData":{"id":503,"type":"article-journal","abstract":"The diffusion of tree crops has continuously increased during the last decades all over the world. The market boost has favored the adoption of intensive and highly mechanized cultivation, often triggering the degradation of the soil physical-hydrological qualities, mainly through enhanced soil erosion and compaction. Several papers have been published on soil degradation and restoration strategies in specific perennial crops and environments. This review paper collects such studies showing the sensitivity of soil under tree crops to the degradation of their physical-hydrological qualities. Then it reports the state of the art on the methodologies used for the evaluation of the physical-hydrological qualities in the field and in the laboratory, also suggesting an improved methodology for estimating the actual available water capacity. Some updated and promising experiences to recover the physical-hydrological qualities of soil are then illustrated. In particular, subsoiling and placement of drainages, spreading of organic amendments, compost, biochar, using of cover crops, and biological inoculants. A key point in applying the restoration practices is that they should not only be specific for the soil and tree rooting system, but also tailored according to the ecosystem functions that need to be improved besides plant health and yield.","container-title":"Agronomy","DOI":"10.3390/agronomy11010068","ISSN":"2073-4395","issue":"1","language":"en","license":"http://creativecommons.org/licenses/by/3.0/","page":"68","publisher":"Multidisciplinary Digital Publishing Institute","source":"www.mdpi.com","title":"Soil Physical-Hydrological Degradation in the Root-Zone of Tree Crops: Problems and Solutions","title-short":"Soil Physical-Hydrological Degradation in the Root-Zone of Tree Crops","volume":"11","author":[{"family":"Priori","given":"Simone"},{"family":"Pellegrini","given":"Sergio"},{"family":"Vignozzi","given":"Nadia"},{"family":"Costantini","given":"Edoardo A. C."}],"issued":{"date-parts":[["2021",1]]}}}],"schema":"https://github.com/citation-style-language/schema/raw/master/csl-citation.json"} </w:instrText>
      </w:r>
      <w:r w:rsidR="00934696">
        <w:rPr>
          <w:sz w:val="22"/>
        </w:rPr>
        <w:fldChar w:fldCharType="separate"/>
      </w:r>
      <w:r w:rsidR="00934696" w:rsidRPr="00934696">
        <w:rPr>
          <w:rFonts w:cs="Times New Roman"/>
          <w:sz w:val="22"/>
        </w:rPr>
        <w:t>(Priori et al., 2021)</w:t>
      </w:r>
      <w:r w:rsidR="00934696">
        <w:rPr>
          <w:sz w:val="22"/>
        </w:rPr>
        <w:fldChar w:fldCharType="end"/>
      </w:r>
      <w:r w:rsidRPr="00AF223D">
        <w:rPr>
          <w:sz w:val="22"/>
        </w:rPr>
        <w:t>.</w:t>
      </w:r>
      <w:r w:rsidR="00427376">
        <w:rPr>
          <w:sz w:val="22"/>
        </w:rPr>
        <w:t xml:space="preserve"> </w:t>
      </w:r>
      <w:r w:rsidR="00427376" w:rsidRPr="00397B1C">
        <w:rPr>
          <w:color w:val="EE0000"/>
          <w:sz w:val="22"/>
        </w:rPr>
        <w:t>Conversely, management practices that improve soil physical and hydrological properties may contribute to mitigating water limitations in arid agricultural environments. For example,</w:t>
      </w:r>
      <w:r w:rsidR="00934696">
        <w:rPr>
          <w:color w:val="EE0000"/>
          <w:sz w:val="22"/>
        </w:rPr>
        <w:t xml:space="preserve"> </w:t>
      </w:r>
      <w:r w:rsidR="00934696">
        <w:rPr>
          <w:color w:val="EE0000"/>
          <w:sz w:val="22"/>
        </w:rPr>
        <w:fldChar w:fldCharType="begin"/>
      </w:r>
      <w:r w:rsidR="00934696">
        <w:rPr>
          <w:color w:val="EE0000"/>
          <w:sz w:val="22"/>
        </w:rPr>
        <w:instrText xml:space="preserve"> ADDIN ZOTERO_ITEM CSL_CITATION {"citationID":"wNBkKsxF","properties":{"unsorted":false,"formattedCitation":"(Condori-Ataupillco et\\uc0\\u160{}al., 2025)","plainCitation":"(Condori-Ataupillco et al., 2025)","noteIndex":0},"citationItems":[{"id":687,"uris":["http://zotero.org/users/14068823/items/AE8NFNBH"],"itemData":{"id":687,"type":"article-journal","abstract":"Introduction Previous studies showed that biochar amended soils significantly enhanced the growth and yield of quinoa under water limitations. So it becomes an emerging agronomic strategy to consider for sustainable quinoa production. Biochar can specifically be considered for the area particularly receiving low annual rainfall and more vulnerable to current climate change conditions. Materials and Methods A field experiment was conducted using the quinoa variety INIA 415 Pasankalla, employing a factorial design to assess the effects of different application rates of biochar made of municipal pruning waste and agricultural waste (0, 1, 2, and 3 t·ha⁻¹), and three irrigation intervals (irrigation every 5 days, irrigation every 10 days, and irrigation every 15 days). The volumetric soil moisture content, the soil hydraulic properties, and quinoa's biometric characteristics and yield components were evaluated. Results The results indicated that the longest irrigation intervals (10 and 15 days) resulted in soil moisture levels between 19% and 40% below the wilting point (soil matric potential: −1.5 MPa), creating water stress conditions. However, biochar application increased the field capacity from 0.31 to 0.38 g H₂O g⁻¹ soil, raised soil air content from 22% to 29% at irrigation, and promoted the quinoa's soil water absorption below the wilting point. Furthermore, the application of 3 t·ha⁻¹ of biochar significantly enhanced quinoa yield, increasing it from 3.18 to 4.22 t·ha⁻¹, along with improvements in leaf area, total biomass, root length, and panicle length by 70.74%, 76.54%, 14.34%, and 16.55%, respectively. Conclusions It was concluded that a 3 t·ha⁻¹ biochar application mitigated the negative effects of water stress caused by prolonged irrigation intervals. This biochar treatment improved the soil's physical properties and enabled the quinoa variety INIA 415 Pasankalla to achieve yields close to its theoretical productive potential.","container-title":"Journal of Sustainable Agriculture and Environment","DOI":"10.1002/sae2.70036","ISSN":"2767-035X","issue":"1","language":"en","license":"© 2024 The Author(s). Journal of Sustainable Agriculture and Environment published by Global Initiative of Sustainable Agriculture and Environment and John Wiley &amp; Sons Australia, Ltd.","page":"e70036","source":"Wiley Online Library","title":"Biochar-Amended Soils: A Water-Saving Strategy for Quinoa Cultivation in the Andes","title-short":"Biochar-Amended Soils","volume":"4","author":[{"family":"Condori-Ataupillco","given":"Tatiana"},{"family":"Flores-Marquez","given":"Ricardo"},{"family":"Quispe","given":"Kenyi"},{"family":"Quispe-Rodriguez","given":"Juan"},{"family":"Velásquez-Mantari","given":"José"},{"family":"Solórzano-Acosta","given":"Richard"}],"issued":{"date-parts":[["2025"]]}}}],"schema":"https://github.com/citation-style-language/schema/raw/master/csl-citation.json"} </w:instrText>
      </w:r>
      <w:r w:rsidR="00934696">
        <w:rPr>
          <w:color w:val="EE0000"/>
          <w:sz w:val="22"/>
        </w:rPr>
        <w:fldChar w:fldCharType="separate"/>
      </w:r>
      <w:r w:rsidR="00934696" w:rsidRPr="00934696">
        <w:rPr>
          <w:rFonts w:cs="Times New Roman"/>
          <w:sz w:val="22"/>
        </w:rPr>
        <w:t xml:space="preserve">Condori-Ataupillco et al. </w:t>
      </w:r>
      <w:r w:rsidR="00934696">
        <w:rPr>
          <w:rFonts w:cs="Times New Roman"/>
          <w:sz w:val="22"/>
        </w:rPr>
        <w:t>(</w:t>
      </w:r>
      <w:r w:rsidR="00934696" w:rsidRPr="00934696">
        <w:rPr>
          <w:rFonts w:cs="Times New Roman"/>
          <w:sz w:val="22"/>
        </w:rPr>
        <w:t>2025)</w:t>
      </w:r>
      <w:r w:rsidR="00934696">
        <w:rPr>
          <w:color w:val="EE0000"/>
          <w:sz w:val="22"/>
        </w:rPr>
        <w:fldChar w:fldCharType="end"/>
      </w:r>
      <w:r w:rsidR="00427376" w:rsidRPr="00397B1C">
        <w:rPr>
          <w:color w:val="EE0000"/>
          <w:sz w:val="22"/>
        </w:rPr>
        <w:t xml:space="preserve"> demonstrated that biochar amendment increased soil water-retention capacity and improved crop performance under water-stress conditions in the Peruvian Andes</w:t>
      </w:r>
      <w:r w:rsidR="00427376">
        <w:rPr>
          <w:sz w:val="22"/>
        </w:rPr>
        <w:t>.</w:t>
      </w:r>
      <w:r w:rsidRPr="00AF223D">
        <w:rPr>
          <w:sz w:val="22"/>
        </w:rPr>
        <w:t xml:space="preserve"> From a physiological perspective, high concentrations of sodium salts produce osmotic stress, ionic toxicity (Na⁺ and Cl⁻) and ionic imbalances. In particular, reduction of the K⁺/Na⁺ ratio and competitive displacement of Ca²⁺ diminish uptake of K, Ca and other essential nutrients, provoking chlorosis, reduced vegetative growth and losses in both yield and commercial fruit quality</w:t>
      </w:r>
      <w:r w:rsidR="00934696">
        <w:rPr>
          <w:sz w:val="22"/>
        </w:rPr>
        <w:t xml:space="preserve"> </w:t>
      </w:r>
      <w:r w:rsidR="00934696">
        <w:rPr>
          <w:sz w:val="22"/>
        </w:rPr>
        <w:fldChar w:fldCharType="begin"/>
      </w:r>
      <w:r w:rsidR="00934696">
        <w:rPr>
          <w:sz w:val="22"/>
        </w:rPr>
        <w:instrText xml:space="preserve"> ADDIN ZOTERO_ITEM CSL_CITATION {"citationID":"SMVGaZYo","properties":{"unsorted":false,"formattedCitation":"(Atta et\\uc0\\u160{}al., 2023)","plainCitation":"(Atta et al., 2023)","noteIndex":0},"citationItems":[{"id":505,"uris":["http://zotero.org/users/14068823/items/EYF8VUH3"],"itemData":{"id":505,"type":"article-journal","abstract":"Indiscriminate use of recycled water in irrigation that contains a significant amount of salt ions, faulty agronomic practices such as improper fertilization etc. are gradually increasing soil salinity of arable lands across the globe. It is one of the major abiotic factors that inhibits overall plant growth through ionic imbalance, osmotic stress, oxidative stress, and reduced nutrient uptake. Plants have evolved with several adaptation strategies at morphological and molecular levels to withstand salinity stress. Among various approaches, harnessing the crop genetic variability across different genepools and developing salinity tolerant crop plants offer the most sustainable way of salt stress mitigation. Some important major gene(s)/genetic determinants controlling salinity tolerance have been uncovered using classical genetic approaches. However, due to its complex inheritance pattern makes breeding for salinity tolerance challenging. Subsequently, advances in bi-parental QTL mapping, genome wide association mapping, sequence based breeding approaches, and functional genomics have greatly assisted us underpinning the novel genetic variants controlling salinity stress tolerance across the whole genome in plant. This current review aims to shed light on physiological, biochemical, and molecular responses under salt stress, defence mechanisms of plants, underlying genetics of salt tolerance through bi-parental QTL mapping and Genome Wide Association Studies, and implication of Genomic Selection to breed salt tolerant lines.","container-title":"Frontiers in Plant Science","DOI":"10.3389/fpls.2023.1241736","ISSN":"1664-462X","journalAbbreviation":"Front. Plant Sci.","language":"English","publisher":"Frontiers","source":"Frontiers","title":"Impacts of salinity stress on crop plants: improving salt tolerance through genetic and molecular dissection","title-short":"Impacts of salinity stress on crop plants","URL":"https://www.frontiersin.org/journals/plant-science/articles/10.3389/fpls.2023.1241736/full","volume":"14","author":[{"family":"Atta","given":"Kousik"},{"family":"Mondal","given":"Saptarshi"},{"family":"Gorai","given":"Shouvik"},{"family":"Singh","given":"Aditya Pratap"},{"family":"Kumari","given":"Amrita"},{"family":"Ghosh","given":"Tuhina"},{"family":"Roy","given":"Arkaprava"},{"family":"Hembram","given":"Suryakant"},{"family":"Gaikwad","given":"Dinkar Jagannath"},{"family":"Mondal","given":"Subhasis"},{"family":"Bhattacharya","given":"Sudip"},{"family":"Jha","given":"Uday Chand"},{"family":"Jespersen","given":"David"}],"accessed":{"date-parts":[["2025",12,22]]},"issued":{"date-parts":[["2023",9,15]]}}}],"schema":"https://github.com/citation-style-language/schema/raw/master/csl-citation.json"} </w:instrText>
      </w:r>
      <w:r w:rsidR="00934696">
        <w:rPr>
          <w:sz w:val="22"/>
        </w:rPr>
        <w:fldChar w:fldCharType="separate"/>
      </w:r>
      <w:r w:rsidR="00934696" w:rsidRPr="00934696">
        <w:rPr>
          <w:rFonts w:cs="Times New Roman"/>
          <w:sz w:val="22"/>
        </w:rPr>
        <w:t>(Atta et al., 2023)</w:t>
      </w:r>
      <w:r w:rsidR="00934696">
        <w:rPr>
          <w:sz w:val="22"/>
        </w:rPr>
        <w:fldChar w:fldCharType="end"/>
      </w:r>
      <w:r w:rsidRPr="00AF223D">
        <w:rPr>
          <w:sz w:val="22"/>
        </w:rPr>
        <w:t>.</w:t>
      </w:r>
    </w:p>
    <w:p w14:paraId="4F042B24" w14:textId="64D4B95C" w:rsidR="003B41E9" w:rsidRPr="00AF223D" w:rsidRDefault="00000000">
      <w:pPr>
        <w:rPr>
          <w:sz w:val="22"/>
        </w:rPr>
      </w:pPr>
      <w:r w:rsidRPr="00AF223D">
        <w:rPr>
          <w:sz w:val="22"/>
        </w:rPr>
        <w:t xml:space="preserve">In mango, soil </w:t>
      </w:r>
      <w:proofErr w:type="spellStart"/>
      <w:r w:rsidRPr="00AF223D">
        <w:rPr>
          <w:sz w:val="22"/>
        </w:rPr>
        <w:t>sodicity</w:t>
      </w:r>
      <w:proofErr w:type="spellEnd"/>
      <w:r w:rsidRPr="00AF223D">
        <w:rPr>
          <w:sz w:val="22"/>
        </w:rPr>
        <w:t xml:space="preserve"> and alkalinity are associated with progressive deterioration of physiological performance and crop yield</w:t>
      </w:r>
      <w:r w:rsidR="00934696">
        <w:rPr>
          <w:sz w:val="22"/>
        </w:rPr>
        <w:t xml:space="preserve"> </w:t>
      </w:r>
      <w:r w:rsidR="00934696">
        <w:rPr>
          <w:sz w:val="22"/>
        </w:rPr>
        <w:fldChar w:fldCharType="begin"/>
      </w:r>
      <w:r w:rsidR="00934696">
        <w:rPr>
          <w:sz w:val="22"/>
        </w:rPr>
        <w:instrText xml:space="preserve"> ADDIN ZOTERO_ITEM CSL_CITATION {"citationID":"cu5cJp5a","properties":{"unsorted":false,"formattedCitation":"(Harhash et\\uc0\\u160{}al., 2022; Muthuramalingam et\\uc0\\u160{}al., 2023)","plainCitation":"(Harhash et al., 2022; Muthuramalingam et al., 2023)","noteIndex":0},"citationItems":[{"id":509,"uris":["http://zotero.org/users/14068823/items/6THPMQSA"],"itemData":{"id":509,"type":"article-journal","abstract":"This study was carried out during two consecutive seasons, 2020 and 2021, on 12-year-old mango (Mangifera indica L.). cv. Ewaise grown in region Idku, El Beheira Governorate, Egypt. The trees were planted at 5 × 4 m apart and grafted on “Sokary” root stock to study the influence of zeolite and biochar on growth, yield, and fruit quality of “Ewaise” mango cultivar irrigated by agricultural drainage water. The trees were treated by the following treatments: zeolite or biochar solely at 1, 2, and 3 kg for tree and their different combinations such as 1 kg zeolite + 1 kg biochar; 1 kg zeolite + 2 kg biochar; 1 kg zeolite + 3 kg biochar; 2 kg zeolite + 1 kg biochar; 2 kg zeolite + 2 kg biochar; 2 kg zeolite + 3 kg biochar; 3 kg zeolite + 1 kg biochar; 3 kg zeolite + 2 kg biochar; and 3 kg zeolite + 3 kg biochar as well as control zero soil application. The obtained results showed that the soil application of zeolite or biochar gave a positive effect on improving the soil characteristics which reflects on the tree trunk thickness, shoot length and thickness, number of inflorescences, yield in kg per tree, and fruit quality. The greatest positive effect on the previous mentioned parameters was obtained by the combined application of the soil application of 2 kg zeolite + 3 kg biochar; 2 kg zeolite + 2 kg biochar; 3 kg zeolite + 2 kg biochar; and 3 kg zeolite + 3 kg biochar over the rest-applied treatments or control in the two seasons.","container-title":"Environmental Science and Pollution Research","DOI":"10.1007/s11356-022-21503-4","ISSN":"1614-7499","issue":"58","journalAbbreviation":"Environ Sci Pollut Res","language":"en","page":"87144-87156","source":"Springer Link","title":"Mango performance as affected by the soil application of zeolite and biochar under water salinity stresses","volume":"29","author":[{"family":"Harhash","given":"Mohamed M."},{"family":"Ahamed","given":"Masoud M. M."},{"family":"Mosa","given":"Walid F. A."}],"issued":{"date-parts":[["2022",12,1]]}}},{"id":507,"uris":["http://zotero.org/users/14068823/items/5TY3HJST"],"itemData":{"id":507,"type":"article-journal","abstract":"Mango (Mangifera indica L.) is one of the most economically important fruit crops across the world, mainly in the tropics and subtropics of Asia, Africa, and Central and South America. Abiotic stresses are the prominent hindrance that can adversely affect the growth, development, and significant yield loss of mango trees. Understanding the molecular physiological mechanisms underlying abiotic stress responses in mango is highly intricate. Therefore, to gain insights into the molecular basis and to alleviate the abiotic stress responses to enhance the yield in the mere future, the use of high-throughput frontier approaches should be tied along with the baseline investigations. Taking these gaps into account, this comprehensive review mainly speculates to provide detailed mechanisms and impacts on physiological and biochemical alterations in mango under abiotic stress responses. In addition, the review emphasizes the promising omics approaches in unraveling the candidate genes and transcription factors (TFs) responsible for abiotic stresses. Furthermore, this review also summarizes the role of different types of biostimulants in improving the abiotic stress responses in mango. These studies can be undertaken to recognize the roadblocks and avenues for enhancing abiotic stress tolerance in mango cultivars. Potential investigations pointed out the implementation of powerful and essential tools to uncover novel insights and approaches to integrate the existing literature and advancements to decipher the abiotic stress mechanisms in mango. Furthermore, this review serves as a notable pioneer for researchers working on mango stress physiology using integrative approaches.","container-title":"Plants","DOI":"10.3390/plants12101939","ISSN":"2223-7747","issue":"10","language":"en","license":"http://creativecommons.org/licenses/by/3.0/","page":"1939","publisher":"Multidisciplinary Digital Publishing Institute","source":"www.mdpi.com","title":"Molecular Insights into Abiotic Stresses in Mango","volume":"12","author":[{"family":"Muthuramalingam","given":"Pandiyan"},{"family":"Muthamil","given":"Subramanian"},{"family":"Shilpha","given":"Jayabalan"},{"family":"Venkatramanan","given":"Varadharajan"},{"family":"Priya","given":"Arumugam"},{"family":"Kim","given":"Jinwook"},{"family":"Shin","given":"Yunji"},{"family":"Chen","given":"Jen-Tsung"},{"family":"Baskar","given":"Venkidasamy"},{"family":"Park","given":"Kyoungmi"},{"family":"Shin","given":"Hyunsuk"}],"issued":{"date-parts":[["2023",1]]}}}],"schema":"https://github.com/citation-style-language/schema/raw/master/csl-citation.json"} </w:instrText>
      </w:r>
      <w:r w:rsidR="00934696">
        <w:rPr>
          <w:sz w:val="22"/>
        </w:rPr>
        <w:fldChar w:fldCharType="separate"/>
      </w:r>
      <w:r w:rsidR="00934696" w:rsidRPr="00934696">
        <w:rPr>
          <w:rFonts w:cs="Times New Roman"/>
          <w:sz w:val="22"/>
        </w:rPr>
        <w:t>(Harhash et al., 2022; Muthuramalingam et al., 2023)</w:t>
      </w:r>
      <w:r w:rsidR="00934696">
        <w:rPr>
          <w:sz w:val="22"/>
        </w:rPr>
        <w:fldChar w:fldCharType="end"/>
      </w:r>
      <w:r w:rsidRPr="00AF223D">
        <w:rPr>
          <w:sz w:val="22"/>
        </w:rPr>
        <w:t>. Elevated ESP and pH reduce the soil’s hydraulic conductivity and structural stability throughout the profile, constraining root establishment and radial expansion and, consequently, limiting extraction of essential water and nutrients such as Ca²⁺, Mg²⁺, K⁺, Fe and Zn</w:t>
      </w:r>
      <w:r w:rsidR="00934696">
        <w:rPr>
          <w:sz w:val="22"/>
        </w:rPr>
        <w:t xml:space="preserve"> </w:t>
      </w:r>
      <w:r w:rsidR="00934696">
        <w:rPr>
          <w:sz w:val="22"/>
        </w:rPr>
        <w:fldChar w:fldCharType="begin"/>
      </w:r>
      <w:r w:rsidR="00B24A0D">
        <w:rPr>
          <w:sz w:val="22"/>
        </w:rPr>
        <w:instrText xml:space="preserve"> ADDIN ZOTERO_ITEM CSL_CITATION {"citationID":"7ePvxw1O","properties":{"unsorted":false,"formattedCitation":"(Harhash et\\uc0\\u160{}al., 2022; Stavi et\\uc0\\u160{}al., 2021)","plainCitation":"(Harhash et al., 2022; Stavi et al., 2021)","noteIndex":0},"citationItems":[{"id":509,"uris":["http://zotero.org/users/14068823/items/6THPMQSA"],"itemData":{"id":509,"type":"article-journal","abstract":"This study was carried out during two consecutive seasons, 2020 and 2021, on 12-year-old mango (Mangifera indica L.). cv. Ewaise grown in region Idku, El Beheira Governorate, Egypt. The trees were planted at 5 × 4 m apart and grafted on “Sokary” root stock to study the influence of zeolite and biochar on growth, yield, and fruit quality of “Ewaise” mango cultivar irrigated by agricultural drainage water. The trees were treated by the following treatments: zeolite or biochar solely at 1, 2, and 3 kg for tree and their different combinations such as 1 kg zeolite + 1 kg biochar; 1 kg zeolite + 2 kg biochar; 1 kg zeolite + 3 kg biochar; 2 kg zeolite + 1 kg biochar; 2 kg zeolite + 2 kg biochar; 2 kg zeolite + 3 kg biochar; 3 kg zeolite + 1 kg biochar; 3 kg zeolite + 2 kg biochar; and 3 kg zeolite + 3 kg biochar as well as control zero soil application. The obtained results showed that the soil application of zeolite or biochar gave a positive effect on improving the soil characteristics which reflects on the tree trunk thickness, shoot length and thickness, number of inflorescences, yield in kg per tree, and fruit quality. The greatest positive effect on the previous mentioned parameters was obtained by the combined application of the soil application of 2 kg zeolite + 3 kg biochar; 2 kg zeolite + 2 kg biochar; 3 kg zeolite + 2 kg biochar; and 3 kg zeolite + 3 kg biochar over the rest-applied treatments or control in the two seasons.","container-title":"Environmental Science and Pollution Research","DOI":"10.1007/s11356-022-21503-4","ISSN":"1614-7499","issue":"58","journalAbbreviation":"Environ Sci Pollut Res","language":"en","page":"87144-87156","source":"Springer Link","title":"Mango performance as affected by the soil application of zeolite and biochar under water salinity stresses","volume":"29","author":[{"family":"Harhash","given":"Mohamed M."},{"family":"Ahamed","given":"Masoud M. M."},{"family":"Mosa","given":"Walid F. A."}],"issued":{"date-parts":[["2022",12,1]]}}},{"id":497,"uris":["http://zotero.org/users/14068823/items/BDA3IKWC"],"itemData":{"id":497,"type":"article-journal","abstract":"Soil salinization and sodification are common processes that particularly characterize drylands. These processes can be attributed either to natural conditions or anthropogenic activities. While natural causes include factors such as climate, lithology, topography, and pedology, human causes are mostly related to agricultural land-use, and specifically, to irrigated agriculture. The objective of this study was to thoroughly review this topic, while highlighting the major challenges and related opportunities. Over time, the extent of saline, sodic, and saline-sodic croplands has increased, resulting in accelerated land degradation and desertification, decreased agricultural productivity, and consequently jeopardizing environmental and food security. Mapping and monitoring saline soils is an important management tool, aimed at determining the extent and severity of salinization processes. Recent developments in advanced remote sensing methods have improved the efficacy of mapping and monitoring saline soils. Knowledge on prevention, mitigation, and recovery of soil salinity and sodicity has substantially grown over time. This knowledge includes advanced measures for salt flushing and leaching, water-saving irrigation technologies, precision fertilizer systems, chemical restoration, organic and microbial remediation, and phytoremediation of affected lands. Of a particular interest is the development of forestry-related means, with afforestation, reforestation, agroforestry, and silvopasture practices for the recovery of salt-affected soils. The forecasted expansion of drylands and aggravated drying of existing drylands due to climatic change emphasize the importance of this topic.","container-title":"Frontiers in Environmental Science","DOI":"10.3389/fenvs.2021.712831","ISSN":"2296-665X","journalAbbreviation":"Front. Environ. Sci.","language":"English","publisher":"Frontiers","source":"Frontiers","title":"Soil Salinity and Sodicity in Drylands: A Review of Causes, Effects, Monitoring, and Restoration Measures","title-short":"Soil Salinity and Sodicity in Drylands","URL":"https://www.frontiersin.org/journals/environmental-science/articles/10.3389/fenvs.2021.712831/full","volume":"9","author":[{"family":"Stavi","given":"Ilan"},{"family":"Thevs","given":"Niels"},{"family":"Priori","given":"Simone"}],"accessed":{"date-parts":[["2025",12,22]]},"issued":{"date-parts":[["2021",8,11]]}}}],"schema":"https://github.com/citation-style-language/schema/raw/master/csl-citation.json"} </w:instrText>
      </w:r>
      <w:r w:rsidR="00934696">
        <w:rPr>
          <w:sz w:val="22"/>
        </w:rPr>
        <w:fldChar w:fldCharType="separate"/>
      </w:r>
      <w:r w:rsidR="00B24A0D" w:rsidRPr="00B24A0D">
        <w:rPr>
          <w:rFonts w:cs="Times New Roman"/>
          <w:sz w:val="22"/>
        </w:rPr>
        <w:t>(Harhash et al., 2022; Stavi et al., 2021)</w:t>
      </w:r>
      <w:r w:rsidR="00934696">
        <w:rPr>
          <w:sz w:val="22"/>
        </w:rPr>
        <w:fldChar w:fldCharType="end"/>
      </w:r>
      <w:r w:rsidRPr="00AF223D">
        <w:rPr>
          <w:sz w:val="22"/>
        </w:rPr>
        <w:t xml:space="preserve">. Sodium-induced cationic displacement and the resulting decline in tissue K⁺/Na⁺ ratios compromise the selectivity of ion transporters, intensify osmotic stress, lower stomatal conductance and photosynthetic rate, and disrupt partitioning and translocation of </w:t>
      </w:r>
      <w:proofErr w:type="spellStart"/>
      <w:r w:rsidRPr="00AF223D">
        <w:rPr>
          <w:sz w:val="22"/>
        </w:rPr>
        <w:t>photoassimilates</w:t>
      </w:r>
      <w:proofErr w:type="spellEnd"/>
      <w:r w:rsidRPr="00AF223D">
        <w:rPr>
          <w:sz w:val="22"/>
        </w:rPr>
        <w:t xml:space="preserve"> to reproductive organs</w:t>
      </w:r>
      <w:r w:rsidR="00B24A0D">
        <w:rPr>
          <w:sz w:val="22"/>
        </w:rPr>
        <w:t xml:space="preserve"> </w:t>
      </w:r>
      <w:r w:rsidR="00B24A0D">
        <w:rPr>
          <w:sz w:val="22"/>
        </w:rPr>
        <w:fldChar w:fldCharType="begin"/>
      </w:r>
      <w:r w:rsidR="00B24A0D">
        <w:rPr>
          <w:sz w:val="22"/>
        </w:rPr>
        <w:instrText xml:space="preserve"> ADDIN ZOTERO_ITEM CSL_CITATION {"citationID":"DVYZdp0r","properties":{"unsorted":false,"formattedCitation":"(Fu &amp; Yang, 2023; Xiao &amp; Zhou, 2023)","plainCitation":"(Fu &amp; Yang, 2023; Xiao &amp; Zhou, 2023)","noteIndex":0},"citationItems":[{"id":513,"uris":["http://zotero.org/users/14068823/items/VVFW72EY"],"itemData":{"id":513,"type":"article-journal","abstract":"Soil salinization inhibits plant growth and seriously restricts food security and agricultural development. Excessive salt can cause ionic stress, osmotic stress, and ultimately oxidative stress in plants. Plants exclude excess salt from their cells to help maintain ionic homeostasis and stimulate phytohormone signaling pathways, thereby balancing growth and stress tolerance to enhance their survival. Continuous innovations in scientific research techniques have allowed great strides in understanding how plants actively resist salt stress. Here, we briefly summarize recent achievements in elucidating ionic homeostasis, osmotic stress regulation, oxidative stress regulation, and plant hormonal responses under salt stress. Such achievements lay the foundation for a comprehensive understanding of plant salt-tolerance mechanisms.","container-title":"Current Issues in Molecular Biology","DOI":"10.3390/cimb45070374","ISSN":"1467-3045","issue":"7","language":"en","license":"http://creativecommons.org/licenses/by/3.0/","page":"5914-5934","publisher":"Multidisciplinary Digital Publishing Institute","source":"www.mdpi.com","title":"How Plants Tolerate Salt Stress","volume":"45","author":[{"family":"Fu","given":"Haiqi"},{"family":"Yang","given":"Yongqing"}],"issued":{"date-parts":[["2023",7]]}}},{"id":511,"uris":["http://zotero.org/users/14068823/items/38C2ACHX"],"itemData":{"id":511,"type":"article-journal","abstract":"Salt stress is one of the significant environmental stressors that severely affects plant growth and development. Plant responses to salt stress involve a series of biological mechanisms, including osmoregulation, redox and ionic homeostasis regulation, as well as hormone or light signaling-mediated growth adjustment, which are regulated by different functional components. Unraveling these adaptive mechanisms and identifying the critical genes involved in salt response and adaption are crucial for developing salt-tolerant cultivars. This review summarizes the current research progress in the regulatory networks for plant salt tolerance, highlighting the mechanisms of salt stress perception, signaling, and tolerance response. Finally, we also discuss the possible contribution of microbiota to plant salt tolerance.","container-title":"Frontiers in Plant Science","DOI":"10.3389/fpls.2022.1053699","ISSN":"1664-462X","journalAbbreviation":"Front. Plant Sci.","language":"English","publisher":"Frontiers","source":"Frontiers","title":"Plant salt response: Perception, signaling, and tolerance","title-short":"Plant salt response","URL":"https://www.frontiersin.org/journals/plant-science/articles/10.3389/fpls.2022.1053699/full","volume":"13","author":[{"family":"Xiao","given":"Fei"},{"family":"Zhou","given":"Huapeng"}],"accessed":{"date-parts":[["2025",12,22]]},"issued":{"date-parts":[["2023",1,6]]}}}],"schema":"https://github.com/citation-style-language/schema/raw/master/csl-citation.json"} </w:instrText>
      </w:r>
      <w:r w:rsidR="00B24A0D">
        <w:rPr>
          <w:sz w:val="22"/>
        </w:rPr>
        <w:fldChar w:fldCharType="separate"/>
      </w:r>
      <w:r w:rsidR="00B24A0D" w:rsidRPr="00B24A0D">
        <w:rPr>
          <w:rFonts w:cs="Times New Roman"/>
          <w:sz w:val="22"/>
        </w:rPr>
        <w:t>(Fu &amp; Yang, 2023; Xiao &amp; Zhou, 2023)</w:t>
      </w:r>
      <w:r w:rsidR="00B24A0D">
        <w:rPr>
          <w:sz w:val="22"/>
        </w:rPr>
        <w:fldChar w:fldCharType="end"/>
      </w:r>
      <w:r w:rsidRPr="00AF223D">
        <w:rPr>
          <w:sz w:val="22"/>
        </w:rPr>
        <w:t xml:space="preserve">. Concurrently, functional loss of Ca²⁺ weakens </w:t>
      </w:r>
      <w:r w:rsidRPr="00AF223D">
        <w:rPr>
          <w:sz w:val="22"/>
        </w:rPr>
        <w:lastRenderedPageBreak/>
        <w:t>membrane and cell-wall integrity, increases membrane permeability, accelerates senescence and heightens susceptibility to postharvest disorders</w:t>
      </w:r>
      <w:r w:rsidR="00B24A0D">
        <w:rPr>
          <w:sz w:val="22"/>
        </w:rPr>
        <w:t xml:space="preserve"> </w:t>
      </w:r>
      <w:r w:rsidR="00B24A0D">
        <w:rPr>
          <w:sz w:val="22"/>
        </w:rPr>
        <w:fldChar w:fldCharType="begin"/>
      </w:r>
      <w:r w:rsidR="00B24A0D">
        <w:rPr>
          <w:sz w:val="22"/>
        </w:rPr>
        <w:instrText xml:space="preserve"> ADDIN ZOTERO_ITEM CSL_CITATION {"citationID":"a3SXysHa","properties":{"unsorted":false,"formattedCitation":"(Hocking et\\uc0\\u160{}al., 2016; Liu et\\uc0\\u160{}al., 2023)","plainCitation":"(Hocking et al., 2016; Liu et al., 2023)","noteIndex":0},"citationItems":[{"id":515,"uris":["http://zotero.org/users/14068823/items/HWYA7ZDC"],"itemData":{"id":515,"type":"article-journal","abstract":"Calcium has well-documented roles in plant signaling, water relations and cell wall interactions. Significant research into how calcium impacts these individual processes in various tissues has been carried out; however, the influence of calcium on fruit ripening has not been thoroughly explored. Here, we review the current state of knowledge on how calcium may impact fruit development, physical traits and disease susceptibility through facilitating developmental and stress response signaling, stabilizing membranes, influencing water relations and modifying cell wall properties through cross-linking of de-esterified pectins. We explore the involvement of calcium in hormone signaling integral to ripening and the physiological mechanisms behind common disorders that have been associated with fruit calcium deficiency (e.g. blossom end rot in tomatoes or bitter pit in apples). This review works towards an improved understanding of how the many roles of calcium interact to influence fruit ripening, and proposes future research directions to fill knowledge gaps. Specifically, we focus mostly on grapes and present a model that integrates existing knowledge around these various functions of calcium in fruit, which provides a basis for understanding the physiological impacts of sub-optimal calcium nutrition in grapes. Calcium accumulation and distribution in fruit is shown to be highly dependent on water delivery and cell wall interactions in the apoplasm. Localized calcium deficiencies observed in particular species or varieties can result from differences in xylem morphology, fruit water relations and pectin composition, and can cause leaky membranes, irregular cell wall softening, impaired hormonal signaling and aberrant fruit development. We propose that the role of apoplasmic calcium-pectin crosslinking, particularly in the xylem, is an understudied area that may have a key influence on fruit water relations. Furthermore, we believe that improved knowledge of the calcium-regulated signaling pathways that control ripening would assist in addressing calcium deficiency disorders and improving fruit pathogen resistance.","container-title":"Frontiers in Plant Science","DOI":"10.3389/fpls.2016.00569","ISSN":"1664-462X","journalAbbreviation":"Front. Plant Sci.","language":"English","publisher":"Frontiers","source":"Frontiers","title":"Fruit Calcium: Transport and Physiology","title-short":"Fruit Calcium","URL":"https://www.frontiersin.org/journals/plant-science/articles/10.3389/fpls.2016.00569/full","volume":"7","author":[{"family":"Hocking","given":"Bradleigh"},{"family":"Tyerman","given":"Stephen D."},{"family":"Burton","given":"Rachel A."},{"family":"Gilliham","given":"Matthew"}],"accessed":{"date-parts":[["2025",12,22]]},"issued":{"date-parts":[["2016",4,29]]}}},{"id":517,"uris":["http://zotero.org/users/14068823/items/SXGZ68CR"],"itemData":{"id":517,"type":"article-journal","abstract":"Mango (Mangifera indica L.) is an important tropical fruit with a delicate taste, pleasant aroma, and high nutritional value. In recent years, with the promotion of the rural revitalization strategy and the development of the poverty alleviation industry, China has gradually become an important mango producer. However, the short shelf life of mango fruit, the difficulty in regulating the postharvest quality, and the lack of preservation technology are the main problems that need to be solved in China‘s mango industry. In this paper, the physiological changes and mechanisms of mango during postharvest ripening were summarized, including sugar and acid changes, pigment synthesis and accumulation, and aroma formation and accumulation. The physical, chemical, and biological technologies (such as endogenous phytohormones, temperature, light, chemical preservatives, and edible coatings) commonly used in the regulation of mango postharvest ripening and their action principles were emphatically expounded. The shortcomings of the existing mango postharvest ripening regulation technology and physiological mechanism research were analyzed in order to provide a reference for the industrial application and development of mango postharvest.","container-title":"Foods","DOI":"10.3390/foods12010173","ISSN":"2304-8158","issue":"1","language":"en","license":"http://creativecommons.org/licenses/by/3.0/","page":"173","publisher":"Multidisciplinary Digital Publishing Institute","source":"www.mdpi.com","title":"Research Progress on Mango Post-Harvest Ripening Physiology and the Regulatory Technologies","volume":"12","author":[{"family":"Liu","given":"Bangdi"},{"family":"Xin","given":"Qi"},{"family":"Zhang","given":"Min"},{"family":"Chen","given":"Jianhu"},{"family":"Lu","given":"Qingchen"},{"family":"Zhou","given":"Xinqun"},{"family":"Li","given":"Xiangxin"},{"family":"Zhang","given":"Wanli"},{"family":"Feng","given":"Wei"},{"family":"Pei","given":"Haisheng"},{"family":"Sun","given":"Jing"}],"issued":{"date-parts":[["2023",1]]}}}],"schema":"https://github.com/citation-style-language/schema/raw/master/csl-citation.json"} </w:instrText>
      </w:r>
      <w:r w:rsidR="00B24A0D">
        <w:rPr>
          <w:sz w:val="22"/>
        </w:rPr>
        <w:fldChar w:fldCharType="separate"/>
      </w:r>
      <w:r w:rsidR="00B24A0D" w:rsidRPr="00B24A0D">
        <w:rPr>
          <w:rFonts w:cs="Times New Roman"/>
          <w:sz w:val="22"/>
        </w:rPr>
        <w:t>(Hocking et al., 2016; Liu et al., 2023)</w:t>
      </w:r>
      <w:r w:rsidR="00B24A0D">
        <w:rPr>
          <w:sz w:val="22"/>
        </w:rPr>
        <w:fldChar w:fldCharType="end"/>
      </w:r>
      <w:r w:rsidRPr="00AF223D">
        <w:rPr>
          <w:sz w:val="22"/>
        </w:rPr>
        <w:t>. These physiological pathways explain reduced floral induction, diminished fruit set and poorer fruit retention in mango orchards established on sodic and alkaline soils, and ultimately account for observed declines in productivity</w:t>
      </w:r>
      <w:r w:rsidR="00B24A0D">
        <w:rPr>
          <w:sz w:val="22"/>
        </w:rPr>
        <w:t xml:space="preserve"> </w:t>
      </w:r>
      <w:r w:rsidR="00B24A0D">
        <w:rPr>
          <w:sz w:val="22"/>
        </w:rPr>
        <w:fldChar w:fldCharType="begin"/>
      </w:r>
      <w:r w:rsidR="00B24A0D">
        <w:rPr>
          <w:sz w:val="22"/>
        </w:rPr>
        <w:instrText xml:space="preserve"> ADDIN ZOTERO_ITEM CSL_CITATION {"citationID":"qKcIhZMH","properties":{"unsorted":false,"formattedCitation":"(Harhash et\\uc0\\u160{}al., 2022; Muthuramalingam et\\uc0\\u160{}al., 2023)","plainCitation":"(Harhash et al., 2022; Muthuramalingam et al., 2023)","noteIndex":0},"citationItems":[{"id":509,"uris":["http://zotero.org/users/14068823/items/6THPMQSA"],"itemData":{"id":509,"type":"article-journal","abstract":"This study was carried out during two consecutive seasons, 2020 and 2021, on 12-year-old mango (Mangifera indica L.). cv. Ewaise grown in region Idku, El Beheira Governorate, Egypt. The trees were planted at 5 × 4 m apart and grafted on “Sokary” root stock to study the influence of zeolite and biochar on growth, yield, and fruit quality of “Ewaise” mango cultivar irrigated by agricultural drainage water. The trees were treated by the following treatments: zeolite or biochar solely at 1, 2, and 3 kg for tree and their different combinations such as 1 kg zeolite + 1 kg biochar; 1 kg zeolite + 2 kg biochar; 1 kg zeolite + 3 kg biochar; 2 kg zeolite + 1 kg biochar; 2 kg zeolite + 2 kg biochar; 2 kg zeolite + 3 kg biochar; 3 kg zeolite + 1 kg biochar; 3 kg zeolite + 2 kg biochar; and 3 kg zeolite + 3 kg biochar as well as control zero soil application. The obtained results showed that the soil application of zeolite or biochar gave a positive effect on improving the soil characteristics which reflects on the tree trunk thickness, shoot length and thickness, number of inflorescences, yield in kg per tree, and fruit quality. The greatest positive effect on the previous mentioned parameters was obtained by the combined application of the soil application of 2 kg zeolite + 3 kg biochar; 2 kg zeolite + 2 kg biochar; 3 kg zeolite + 2 kg biochar; and 3 kg zeolite + 3 kg biochar over the rest-applied treatments or control in the two seasons.","container-title":"Environmental Science and Pollution Research","DOI":"10.1007/s11356-022-21503-4","ISSN":"1614-7499","issue":"58","journalAbbreviation":"Environ Sci Pollut Res","language":"en","page":"87144-87156","source":"Springer Link","title":"Mango performance as affected by the soil application of zeolite and biochar under water salinity stresses","volume":"29","author":[{"family":"Harhash","given":"Mohamed M."},{"family":"Ahamed","given":"Masoud M. M."},{"family":"Mosa","given":"Walid F. A."}],"issued":{"date-parts":[["2022",12,1]]}}},{"id":507,"uris":["http://zotero.org/users/14068823/items/5TY3HJST"],"itemData":{"id":507,"type":"article-journal","abstract":"Mango (Mangifera indica L.) is one of the most economically important fruit crops across the world, mainly in the tropics and subtropics of Asia, Africa, and Central and South America. Abiotic stresses are the prominent hindrance that can adversely affect the growth, development, and significant yield loss of mango trees. Understanding the molecular physiological mechanisms underlying abiotic stress responses in mango is highly intricate. Therefore, to gain insights into the molecular basis and to alleviate the abiotic stress responses to enhance the yield in the mere future, the use of high-throughput frontier approaches should be tied along with the baseline investigations. Taking these gaps into account, this comprehensive review mainly speculates to provide detailed mechanisms and impacts on physiological and biochemical alterations in mango under abiotic stress responses. In addition, the review emphasizes the promising omics approaches in unraveling the candidate genes and transcription factors (TFs) responsible for abiotic stresses. Furthermore, this review also summarizes the role of different types of biostimulants in improving the abiotic stress responses in mango. These studies can be undertaken to recognize the roadblocks and avenues for enhancing abiotic stress tolerance in mango cultivars. Potential investigations pointed out the implementation of powerful and essential tools to uncover novel insights and approaches to integrate the existing literature and advancements to decipher the abiotic stress mechanisms in mango. Furthermore, this review serves as a notable pioneer for researchers working on mango stress physiology using integrative approaches.","container-title":"Plants","DOI":"10.3390/plants12101939","ISSN":"2223-7747","issue":"10","language":"en","license":"http://creativecommons.org/licenses/by/3.0/","page":"1939","publisher":"Multidisciplinary Digital Publishing Institute","source":"www.mdpi.com","title":"Molecular Insights into Abiotic Stresses in Mango","volume":"12","author":[{"family":"Muthuramalingam","given":"Pandiyan"},{"family":"Muthamil","given":"Subramanian"},{"family":"Shilpha","given":"Jayabalan"},{"family":"Venkatramanan","given":"Varadharajan"},{"family":"Priya","given":"Arumugam"},{"family":"Kim","given":"Jinwook"},{"family":"Shin","given":"Yunji"},{"family":"Chen","given":"Jen-Tsung"},{"family":"Baskar","given":"Venkidasamy"},{"family":"Park","given":"Kyoungmi"},{"family":"Shin","given":"Hyunsuk"}],"issued":{"date-parts":[["2023",1]]}}}],"schema":"https://github.com/citation-style-language/schema/raw/master/csl-citation.json"} </w:instrText>
      </w:r>
      <w:r w:rsidR="00B24A0D">
        <w:rPr>
          <w:sz w:val="22"/>
        </w:rPr>
        <w:fldChar w:fldCharType="separate"/>
      </w:r>
      <w:r w:rsidR="00B24A0D" w:rsidRPr="00B24A0D">
        <w:rPr>
          <w:rFonts w:cs="Times New Roman"/>
          <w:sz w:val="22"/>
        </w:rPr>
        <w:t>(Harhash et al., 2022; Muthuramalingam et al., 2023)</w:t>
      </w:r>
      <w:r w:rsidR="00B24A0D">
        <w:rPr>
          <w:sz w:val="22"/>
        </w:rPr>
        <w:fldChar w:fldCharType="end"/>
      </w:r>
      <w:r w:rsidRPr="00AF223D">
        <w:rPr>
          <w:sz w:val="22"/>
        </w:rPr>
        <w:t>.</w:t>
      </w:r>
    </w:p>
    <w:p w14:paraId="6DF7E914" w14:textId="28372301" w:rsidR="003B41E9" w:rsidRPr="00AF223D" w:rsidRDefault="00000000">
      <w:pPr>
        <w:rPr>
          <w:sz w:val="22"/>
        </w:rPr>
      </w:pPr>
      <w:r w:rsidRPr="00AF223D">
        <w:rPr>
          <w:sz w:val="22"/>
        </w:rPr>
        <w:t xml:space="preserve">For banana, which relies on a superficial adventitious root system, the effects of compaction and increased bulk density associated with </w:t>
      </w:r>
      <w:proofErr w:type="spellStart"/>
      <w:r w:rsidRPr="00AF223D">
        <w:rPr>
          <w:sz w:val="22"/>
        </w:rPr>
        <w:t>sodicity</w:t>
      </w:r>
      <w:proofErr w:type="spellEnd"/>
      <w:r w:rsidRPr="00AF223D">
        <w:rPr>
          <w:sz w:val="22"/>
        </w:rPr>
        <w:t xml:space="preserve"> are particularly deleterious</w:t>
      </w:r>
      <w:r w:rsidR="00B24A0D">
        <w:rPr>
          <w:sz w:val="22"/>
        </w:rPr>
        <w:t xml:space="preserve"> </w:t>
      </w:r>
      <w:r w:rsidR="00B24A0D">
        <w:rPr>
          <w:sz w:val="22"/>
        </w:rPr>
        <w:fldChar w:fldCharType="begin"/>
      </w:r>
      <w:r w:rsidR="00B24A0D">
        <w:rPr>
          <w:sz w:val="22"/>
        </w:rPr>
        <w:instrText xml:space="preserve"> ADDIN ZOTERO_ITEM CSL_CITATION {"citationID":"8D18DyjH","properties":{"unsorted":false,"formattedCitation":"(Pattison et\\uc0\\u160{}al., 2005)","plainCitation":"(Pattison et al., 2005)","noteIndex":0},"citationItems":[{"id":519,"uris":["http://zotero.org/users/14068823/items/NQRA26GY"],"itemData":{"id":519,"type":"chapter","abstract":"Banana root deterioration and impacts on production; Root anatomy and morphology; Root physiology; Soils and root development; Pathogen: root system interactions.","container-title":"Banana Root System: Towards a Better Understanding for Its Productive Management : Proceedings of an International Symposium Held in San José, Costa Rica, 3-5 November 2003","ISBN":"978-2-910810-61-0","language":"en","note":"Google-Books-ID: mIVDBn4mxY8C","page":"149-165","publisher":"Bioversity International","source":"Google Books","title":"Banana root and soil health project-Australia. International Network for the Improvement of Banana and Plantain (INIBAP)","author":[{"family":"Pattison","given":"Tony"},{"family":"Smith","given":"Linda"},{"family":"Moody","given":"Philip"},{"family":"Armour","given":"John"},{"family":"Badcock","given":"Kim"},{"family":"Cobon","given":"Jenny"},{"family":"Rasiah","given":"Velupillai"},{"family":"Lindsay","given":"Stewart"},{"family":"Gulino","given":"Lisa"}],"issued":{"date-parts":[["2005"]]}}}],"schema":"https://github.com/citation-style-language/schema/raw/master/csl-citation.json"} </w:instrText>
      </w:r>
      <w:r w:rsidR="00B24A0D">
        <w:rPr>
          <w:sz w:val="22"/>
        </w:rPr>
        <w:fldChar w:fldCharType="separate"/>
      </w:r>
      <w:r w:rsidR="00B24A0D" w:rsidRPr="00B24A0D">
        <w:rPr>
          <w:rFonts w:cs="Times New Roman"/>
          <w:sz w:val="22"/>
        </w:rPr>
        <w:t>(Pattison et al., 2005)</w:t>
      </w:r>
      <w:r w:rsidR="00B24A0D">
        <w:rPr>
          <w:sz w:val="22"/>
        </w:rPr>
        <w:fldChar w:fldCharType="end"/>
      </w:r>
      <w:r w:rsidRPr="00AF223D">
        <w:rPr>
          <w:sz w:val="22"/>
        </w:rPr>
        <w:t xml:space="preserve">. Restriction of root exploration reduces uptake of relatively immobile nutrients, notably K⁺ and H₂PO₄⁻, manifesting as lowered vigor and reduced bunch weight and quality. In alkaline-sodic soils (pH = 8.83; Na⁺ = 13.21 </w:t>
      </w:r>
      <w:proofErr w:type="spellStart"/>
      <w:r w:rsidRPr="00AF223D">
        <w:rPr>
          <w:sz w:val="22"/>
        </w:rPr>
        <w:t>cmol</w:t>
      </w:r>
      <w:proofErr w:type="spellEnd"/>
      <w:r w:rsidRPr="00AF223D">
        <w:rPr>
          <w:sz w:val="22"/>
        </w:rPr>
        <w:t xml:space="preserve"> kg⁻¹) elevated Na concentrations have been reported across growing tissues and markedly high Na⁺/K⁺ ratios in the </w:t>
      </w:r>
      <w:proofErr w:type="spellStart"/>
      <w:r w:rsidRPr="00AF223D">
        <w:rPr>
          <w:sz w:val="22"/>
        </w:rPr>
        <w:t>pseudostem</w:t>
      </w:r>
      <w:proofErr w:type="spellEnd"/>
      <w:r w:rsidRPr="00AF223D">
        <w:rPr>
          <w:sz w:val="22"/>
        </w:rPr>
        <w:t xml:space="preserve"> (&gt; 3.80), limiting K accumulation in the fruit and impairing commercial quality</w:t>
      </w:r>
      <w:r w:rsidR="00B24A0D">
        <w:rPr>
          <w:sz w:val="22"/>
        </w:rPr>
        <w:t xml:space="preserve"> </w:t>
      </w:r>
      <w:r w:rsidR="00B24A0D">
        <w:rPr>
          <w:sz w:val="22"/>
        </w:rPr>
        <w:fldChar w:fldCharType="begin"/>
      </w:r>
      <w:r w:rsidR="00B24A0D">
        <w:rPr>
          <w:sz w:val="22"/>
        </w:rPr>
        <w:instrText xml:space="preserve"> ADDIN ZOTERO_ITEM CSL_CITATION {"citationID":"frtYowyR","properties":{"unsorted":false,"formattedCitation":"(Thukkaram et\\uc0\\u160{}al., 2025)","plainCitation":"(Thukkaram et al., 2025)","noteIndex":0},"citationItems":[{"id":521,"uris":["http://zotero.org/users/14068823/items/C986RM8Z"],"itemData":{"id":521,"type":"article-journal","abstract":"Banana is a commercially important crop widely cultivated in tropical and subtropical regions, but its cultivation in the canal command basins is challenged due to the development of waterlogged sodic soils. The present study aimed to induce sodicity tolerance through the integration of secondary metabolites in the plants during the tissue culture organogenesis phase. Secondary-metabolite-treated plants were assessed for their performance in the waterlogged sodic soil areas of Samesee block in Lucknow district of Uttar Pradesh, India. Metabolite-treated (MT) plants exhibited significantly better growth and yield compared to untreated control (UTC) plants. Key physiological enhancements in MT plants included increased activities of defense-related enzymes superoxide dismutase (SOD), phenylalanine ammonia lyase (PAL), peroxidase (POD), and proline along with a reduced Na+/K+ ratio. The metabolic profile of MT plants showed higher expression of antioxidants, phenolic compounds, and flavonoids. MT plants exhibited production of the metabolites such as trihydroxy methylene–di-oxyflavone, rush flavanone, rutin, anthocyanins, neodiosmin, arachidonic acid, and trigalloyl-HHDP-glucose, which belongs to the subclasses of flavonoids, anthocyanins, and sugar alcohols. Consequently, MT plants produced a significantly higher yield (20.85 kg per plant) compared to UTC plants (8.35 kg) and greater biomass. These results suggest that treatments using secondary metabolite extracted from salt-tolerant bacteria can be used as an effective strategy for enhancing sodicity tolerance in banana plants, contributing to sustainable production and economic viability in waterlogged sodic soil conditions.","container-title":"Horticulturae","DOI":"10.3390/horticulturae11040416","ISSN":"2311-7524","issue":"4","language":"en","license":"http://creativecommons.org/licenses/by/3.0/","page":"416","publisher":"Multidisciplinary Digital Publishing Institute","source":"www.mdpi.com","title":"Secondary Metabolite-Induced Osmo-Protection and Host Antioxidant Systems in Banana in Waterlogged Sodic Soils","volume":"11","author":[{"family":"Thukkaram","given":"Damodaran"},{"family":"Manoharan","given":"Muthukumar"},{"family":"Debnath","given":"Prasenjit"},{"family":"Kumari","given":"Sangeeta"},{"family":"Kumar","given":"Sandeep"},{"family":"Mishra","given":"Maneesh"},{"family":"Jha","given":"Sunil Kumar"},{"family":"Verma","given":"Chhedi L."}],"issued":{"date-parts":[["2025",4]]}}}],"schema":"https://github.com/citation-style-language/schema/raw/master/csl-citation.json"} </w:instrText>
      </w:r>
      <w:r w:rsidR="00B24A0D">
        <w:rPr>
          <w:sz w:val="22"/>
        </w:rPr>
        <w:fldChar w:fldCharType="separate"/>
      </w:r>
      <w:r w:rsidR="00B24A0D" w:rsidRPr="00B24A0D">
        <w:rPr>
          <w:rFonts w:cs="Times New Roman"/>
          <w:sz w:val="22"/>
        </w:rPr>
        <w:t>(Thukkaram et al., 2025)</w:t>
      </w:r>
      <w:r w:rsidR="00B24A0D">
        <w:rPr>
          <w:sz w:val="22"/>
        </w:rPr>
        <w:fldChar w:fldCharType="end"/>
      </w:r>
      <w:r w:rsidRPr="00AF223D">
        <w:rPr>
          <w:sz w:val="22"/>
        </w:rPr>
        <w:t xml:space="preserve">. This is especially critical given banana’s high K demand, with nutrient removals that may reach 480 kg ha⁻¹ </w:t>
      </w:r>
      <w:r w:rsidR="00B24A0D">
        <w:rPr>
          <w:sz w:val="22"/>
        </w:rPr>
        <w:t xml:space="preserve"> </w:t>
      </w:r>
      <w:r w:rsidR="00B24A0D">
        <w:rPr>
          <w:sz w:val="22"/>
        </w:rPr>
        <w:fldChar w:fldCharType="begin"/>
      </w:r>
      <w:r w:rsidR="00B24A0D">
        <w:rPr>
          <w:sz w:val="22"/>
        </w:rPr>
        <w:instrText xml:space="preserve"> ADDIN ZOTERO_ITEM CSL_CITATION {"citationID":"XNxkZKuS","properties":{"unsorted":false,"formattedCitation":"(Villase\\uc0\\u241{}or-Ortiz et\\uc0\\u160{}al., 2022)","plainCitation":"(Villaseñor-Ortiz et al., 2022)","noteIndex":0},"citationItems":[{"id":470,"uris":["http://zotero.org/users/14068823/items/EIBMMFYX"],"itemData":{"id":470,"type":"article-journal","container-title":"Fruits, The International Journal of Tropical and Subtropical Horticulture","DOI":"10.17660/th2022/002","issue":"1","publisher":"CABI","source":"cabidigitallibrary.org (Atypon)","title":"Critical nitrogen and potassium levels and sufficiency ranges for banana cultivation in Ecuador","URL":"https://www.cabidigitallibrary.org/doi/10.17660/th2022/002","volume":"77","author":[{"family":"Villaseñor-Ortiz","given":"D."},{"family":"Prado","given":"R. de Mello"},{"family":"Luna-Romero","given":"E."},{"family":"Jaramillo-Aguilar","given":"E."},{"family":"Agurto-Rodriguez","given":"L."}],"accessed":{"date-parts":[["2025",12,22]]},"issued":{"date-parts":[["2022",2,3]]}}}],"schema":"https://github.com/citation-style-language/schema/raw/master/csl-citation.json"} </w:instrText>
      </w:r>
      <w:r w:rsidR="00B24A0D">
        <w:rPr>
          <w:sz w:val="22"/>
        </w:rPr>
        <w:fldChar w:fldCharType="separate"/>
      </w:r>
      <w:r w:rsidR="00B24A0D" w:rsidRPr="00B24A0D">
        <w:rPr>
          <w:rFonts w:cs="Times New Roman"/>
          <w:sz w:val="22"/>
        </w:rPr>
        <w:t>(Villaseñor-Ortiz et al., 2022)</w:t>
      </w:r>
      <w:r w:rsidR="00B24A0D">
        <w:rPr>
          <w:sz w:val="22"/>
        </w:rPr>
        <w:fldChar w:fldCharType="end"/>
      </w:r>
      <w:r w:rsidR="00B24A0D">
        <w:t>.</w:t>
      </w:r>
    </w:p>
    <w:p w14:paraId="5AB59EC6" w14:textId="2DA9DED9" w:rsidR="003B41E9" w:rsidRPr="00AF223D" w:rsidRDefault="00000000">
      <w:pPr>
        <w:rPr>
          <w:sz w:val="22"/>
        </w:rPr>
      </w:pPr>
      <w:r w:rsidRPr="00AF223D">
        <w:rPr>
          <w:sz w:val="22"/>
        </w:rPr>
        <w:t xml:space="preserve">Consistent with these physiological and agronomic mechanisms, our results indicate that areas classified as high and very-high soil quality exhibit greater fertility potential for banana and mango, </w:t>
      </w:r>
      <w:proofErr w:type="spellStart"/>
      <w:r w:rsidRPr="00AF223D">
        <w:rPr>
          <w:sz w:val="22"/>
        </w:rPr>
        <w:t>characterised</w:t>
      </w:r>
      <w:proofErr w:type="spellEnd"/>
      <w:r w:rsidRPr="00AF223D">
        <w:rPr>
          <w:sz w:val="22"/>
        </w:rPr>
        <w:t xml:space="preserve"> by higher available K (140.39 ± 127.13 to 161.03 ± 118.26 mg kg⁻¹) and lower exchangeable Na⁺ (0.31 ± 0.27 to 0.61 ± 0.61 </w:t>
      </w:r>
      <w:proofErr w:type="spellStart"/>
      <w:r w:rsidRPr="00AF223D">
        <w:rPr>
          <w:sz w:val="22"/>
        </w:rPr>
        <w:t>cmol</w:t>
      </w:r>
      <w:proofErr w:type="spellEnd"/>
      <w:r w:rsidRPr="00AF223D">
        <w:rPr>
          <w:sz w:val="22"/>
        </w:rPr>
        <w:t xml:space="preserve"> kg⁻¹). Such edaphic conditions promote maintenance of K⁺/Na⁺ ionic homeostasis and a more efficient source–sink relationship between root and fruit, supporting enhanced productivity and fruit quality</w:t>
      </w:r>
      <w:r w:rsidR="00B24A0D">
        <w:rPr>
          <w:sz w:val="22"/>
        </w:rPr>
        <w:t xml:space="preserve"> </w:t>
      </w:r>
      <w:r w:rsidR="00B24A0D">
        <w:rPr>
          <w:sz w:val="22"/>
        </w:rPr>
        <w:fldChar w:fldCharType="begin"/>
      </w:r>
      <w:r w:rsidR="00B24A0D">
        <w:rPr>
          <w:sz w:val="22"/>
        </w:rPr>
        <w:instrText xml:space="preserve"> ADDIN ZOTERO_ITEM CSL_CITATION {"citationID":"HJcpmavi","properties":{"unsorted":false,"formattedCitation":"(Thukkaram et\\uc0\\u160{}al., 2025)","plainCitation":"(Thukkaram et al., 2025)","noteIndex":0},"citationItems":[{"id":521,"uris":["http://zotero.org/users/14068823/items/C986RM8Z"],"itemData":{"id":521,"type":"article-journal","abstract":"Banana is a commercially important crop widely cultivated in tropical and subtropical regions, but its cultivation in the canal command basins is challenged due to the development of waterlogged sodic soils. The present study aimed to induce sodicity tolerance through the integration of secondary metabolites in the plants during the tissue culture organogenesis phase. Secondary-metabolite-treated plants were assessed for their performance in the waterlogged sodic soil areas of Samesee block in Lucknow district of Uttar Pradesh, India. Metabolite-treated (MT) plants exhibited significantly better growth and yield compared to untreated control (UTC) plants. Key physiological enhancements in MT plants included increased activities of defense-related enzymes superoxide dismutase (SOD), phenylalanine ammonia lyase (PAL), peroxidase (POD), and proline along with a reduced Na+/K+ ratio. The metabolic profile of MT plants showed higher expression of antioxidants, phenolic compounds, and flavonoids. MT plants exhibited production of the metabolites such as trihydroxy methylene–di-oxyflavone, rush flavanone, rutin, anthocyanins, neodiosmin, arachidonic acid, and trigalloyl-HHDP-glucose, which belongs to the subclasses of flavonoids, anthocyanins, and sugar alcohols. Consequently, MT plants produced a significantly higher yield (20.85 kg per plant) compared to UTC plants (8.35 kg) and greater biomass. These results suggest that treatments using secondary metabolite extracted from salt-tolerant bacteria can be used as an effective strategy for enhancing sodicity tolerance in banana plants, contributing to sustainable production and economic viability in waterlogged sodic soil conditions.","container-title":"Horticulturae","DOI":"10.3390/horticulturae11040416","ISSN":"2311-7524","issue":"4","language":"en","license":"http://creativecommons.org/licenses/by/3.0/","page":"416","publisher":"Multidisciplinary Digital Publishing Institute","source":"www.mdpi.com","title":"Secondary Metabolite-Induced Osmo-Protection and Host Antioxidant Systems in Banana in Waterlogged Sodic Soils","volume":"11","author":[{"family":"Thukkaram","given":"Damodaran"},{"family":"Manoharan","given":"Muthukumar"},{"family":"Debnath","given":"Prasenjit"},{"family":"Kumari","given":"Sangeeta"},{"family":"Kumar","given":"Sandeep"},{"family":"Mishra","given":"Maneesh"},{"family":"Jha","given":"Sunil Kumar"},{"family":"Verma","given":"Chhedi L."}],"issued":{"date-parts":[["2025",4]]}}}],"schema":"https://github.com/citation-style-language/schema/raw/master/csl-citation.json"} </w:instrText>
      </w:r>
      <w:r w:rsidR="00B24A0D">
        <w:rPr>
          <w:sz w:val="22"/>
        </w:rPr>
        <w:fldChar w:fldCharType="separate"/>
      </w:r>
      <w:r w:rsidR="00B24A0D" w:rsidRPr="00B24A0D">
        <w:rPr>
          <w:rFonts w:cs="Times New Roman"/>
          <w:sz w:val="22"/>
        </w:rPr>
        <w:t>(Thukkaram et al., 2025)</w:t>
      </w:r>
      <w:r w:rsidR="00B24A0D">
        <w:rPr>
          <w:sz w:val="22"/>
        </w:rPr>
        <w:fldChar w:fldCharType="end"/>
      </w:r>
      <w:r w:rsidR="00B24A0D">
        <w:rPr>
          <w:sz w:val="22"/>
        </w:rPr>
        <w:t>.</w:t>
      </w:r>
    </w:p>
    <w:p w14:paraId="0498EB2C" w14:textId="77777777" w:rsidR="003B41E9" w:rsidRPr="00AF223D" w:rsidRDefault="00000000">
      <w:pPr>
        <w:pStyle w:val="Ttulo2"/>
        <w:rPr>
          <w:sz w:val="22"/>
          <w:szCs w:val="22"/>
        </w:rPr>
      </w:pPr>
      <w:bookmarkStart w:id="37" w:name="Xb24ce4700e7304ebf4f1ed4fb34c6a8e760e989"/>
      <w:bookmarkEnd w:id="36"/>
      <w:r w:rsidRPr="00AF223D">
        <w:rPr>
          <w:sz w:val="22"/>
          <w:szCs w:val="22"/>
        </w:rPr>
        <w:t>Model performance and implications for spatial soil quality assessment</w:t>
      </w:r>
    </w:p>
    <w:p w14:paraId="7982B745" w14:textId="123A6547" w:rsidR="003B41E9" w:rsidRPr="00AF223D" w:rsidRDefault="00000000">
      <w:pPr>
        <w:rPr>
          <w:sz w:val="22"/>
        </w:rPr>
      </w:pPr>
      <w:r w:rsidRPr="00397B1C">
        <w:rPr>
          <w:color w:val="EE0000"/>
          <w:sz w:val="22"/>
        </w:rPr>
        <w:t xml:space="preserve">The </w:t>
      </w:r>
      <w:r w:rsidR="00031200" w:rsidRPr="00397B1C">
        <w:rPr>
          <w:color w:val="EE0000"/>
          <w:sz w:val="22"/>
        </w:rPr>
        <w:t xml:space="preserve">results obtained under the nested cross-validation framework showed differences in predictive performance among the evaluated model </w:t>
      </w:r>
      <w:r w:rsidRPr="00AF223D">
        <w:rPr>
          <w:sz w:val="22"/>
        </w:rPr>
        <w:t>(</w:t>
      </w:r>
      <w:hyperlink r:id="rId28" w:anchor="bookmark=id.6o7xwh9ggi4o">
        <w:r w:rsidR="003B41E9" w:rsidRPr="00AF223D">
          <w:rPr>
            <w:rStyle w:val="Hipervnculo"/>
            <w:color w:val="auto"/>
            <w:sz w:val="22"/>
          </w:rPr>
          <w:t xml:space="preserve">Table </w:t>
        </w:r>
        <w:r w:rsidR="00C36E1C">
          <w:rPr>
            <w:rStyle w:val="Hipervnculo"/>
            <w:color w:val="auto"/>
            <w:sz w:val="22"/>
          </w:rPr>
          <w:t>4</w:t>
        </w:r>
      </w:hyperlink>
      <w:r w:rsidRPr="00397B1C">
        <w:rPr>
          <w:color w:val="EE0000"/>
          <w:sz w:val="22"/>
        </w:rPr>
        <w:t xml:space="preserve">). </w:t>
      </w:r>
      <w:r w:rsidR="00031200" w:rsidRPr="00397B1C">
        <w:rPr>
          <w:color w:val="EE0000"/>
          <w:sz w:val="22"/>
        </w:rPr>
        <w:t xml:space="preserve">Ordinary kriging (OK) showed the lowest overall predictive performance, whereas Random Forest (RF) substantially improved the prediction of </w:t>
      </w:r>
      <w:proofErr w:type="spellStart"/>
      <w:r w:rsidR="00031200" w:rsidRPr="00397B1C">
        <w:rPr>
          <w:color w:val="EE0000"/>
          <w:sz w:val="22"/>
        </w:rPr>
        <w:t>SQIw</w:t>
      </w:r>
      <w:proofErr w:type="spellEnd"/>
      <w:r w:rsidR="00031200" w:rsidRPr="00397B1C">
        <w:rPr>
          <w:color w:val="EE0000"/>
          <w:sz w:val="22"/>
        </w:rPr>
        <w:t xml:space="preserve">. The full RF + residual kriging (RF+RK) model showed performance comparable to RF, with only marginal changes in the evaluated metrics. In contrast, the reduced RF+RK model achieved the best numerical performance, with the lowest RMSE, MAE, </w:t>
      </w:r>
      <w:proofErr w:type="spellStart"/>
      <w:r w:rsidR="00031200" w:rsidRPr="00397B1C">
        <w:rPr>
          <w:color w:val="EE0000"/>
          <w:sz w:val="22"/>
        </w:rPr>
        <w:t>nRMSE</w:t>
      </w:r>
      <w:proofErr w:type="spellEnd"/>
      <w:r w:rsidR="00031200" w:rsidRPr="00397B1C">
        <w:rPr>
          <w:color w:val="EE0000"/>
          <w:sz w:val="22"/>
        </w:rPr>
        <w:t xml:space="preserve">, and </w:t>
      </w:r>
      <w:proofErr w:type="spellStart"/>
      <w:r w:rsidR="00031200" w:rsidRPr="00397B1C">
        <w:rPr>
          <w:color w:val="EE0000"/>
          <w:sz w:val="22"/>
        </w:rPr>
        <w:t>RelError</w:t>
      </w:r>
      <w:proofErr w:type="spellEnd"/>
      <w:r w:rsidR="00031200" w:rsidRPr="00397B1C">
        <w:rPr>
          <w:color w:val="EE0000"/>
          <w:sz w:val="22"/>
        </w:rPr>
        <w:t xml:space="preserve"> and the highest R² and CCC. However, its performance was not statistically different from that of RF and the full RF+RK model according to the </w:t>
      </w:r>
      <w:proofErr w:type="spellStart"/>
      <w:r w:rsidR="00031200" w:rsidRPr="00397B1C">
        <w:rPr>
          <w:color w:val="EE0000"/>
          <w:sz w:val="22"/>
        </w:rPr>
        <w:t>Nemenyi</w:t>
      </w:r>
      <w:proofErr w:type="spellEnd"/>
      <w:r w:rsidR="00031200" w:rsidRPr="00397B1C">
        <w:rPr>
          <w:color w:val="EE0000"/>
          <w:sz w:val="22"/>
        </w:rPr>
        <w:t xml:space="preserve"> post-hoc test. These results indicate that reducing the predictor set provided a more parsimonious model while maintaining, and numerically improving, predictive performance.</w:t>
      </w:r>
    </w:p>
    <w:p w14:paraId="26BDCC6D" w14:textId="26EA31E2" w:rsidR="003B41E9" w:rsidRPr="00AF223D" w:rsidRDefault="00000000">
      <w:pPr>
        <w:rPr>
          <w:sz w:val="22"/>
        </w:rPr>
      </w:pPr>
      <w:r w:rsidRPr="00AF223D">
        <w:rPr>
          <w:sz w:val="22"/>
        </w:rPr>
        <w:t>The R² values obtained in this study were moderate. This result can be explained by the nature of the modeled variable and the spatial scale of the analysis. According to the findings of</w:t>
      </w:r>
      <w:r w:rsidR="00B24A0D">
        <w:rPr>
          <w:sz w:val="22"/>
        </w:rPr>
        <w:t xml:space="preserve"> </w:t>
      </w:r>
      <w:r w:rsidR="00B24A0D">
        <w:rPr>
          <w:sz w:val="22"/>
        </w:rPr>
        <w:fldChar w:fldCharType="begin"/>
      </w:r>
      <w:r w:rsidR="00B24A0D">
        <w:rPr>
          <w:sz w:val="22"/>
        </w:rPr>
        <w:instrText xml:space="preserve"> ADDIN ZOTERO_ITEM CSL_CITATION {"citationID":"Lb7li4wB","properties":{"unsorted":false,"formattedCitation":"(Patriche et\\uc0\\u160{}al., 2023)","plainCitation":"(Patriche et al., 2023)","noteIndex":0},"citationItems":[{"id":567,"uris":["http://zotero.org/users/14068823/items/2JE4ZU6H"],"itemData":{"id":567,"type":"article-journal","abstract":"Various research topics from the field of soil science or agriculture require digital maps of soil properties as input data. Such maps can be achieved by digital soil mapping (DSM) techniques which have developed consistently during the last decades. Our research focuses on the application of geostatistical methods (including ordinary kriging, regression-kriging and geographically weighted regression) and machine learning algorithms to produce high resolution digital maps of topsoil properties in Romania. Six continuous predictors were considered in our study (digital elevation model, topographic wetness index, normalized difference vegetation index, slope, latitude and longitude). A tolerance test was performed to ensure that all predictors can be used for the purpose of digital soil mapping. The input soil data was extracted from the LUCAS database and includes 7 chemical properties (pH, electrical conductivity, calcium carbonate, organic carbon, N, P, K) and the particle-size fractions (sand, silt, clay). The spatial autocorrelation is higher for pH, organic carbon and calcium carbonate, as indicated by the partial sill / nugget ratio of semivariograms, meaning that these properties are more predictable than the others by kriging interpolation. The optimal DSM method was selected by independent sample validation, using resampled statistics from 100 samples randomly extracted from the validation dataset. Also, an additional independent sample of soil profiles, comprising legacy soil data, and the 200k Romania soil map were used for a supplementary validation. The results show that machine learning and regression-kriging are the optimal methods in most cases. Among the machine learning tested algorithms, the best performance is associated with Support Vector Machines and Random Forests methods. The geographically weighted regression is also among the optimum methods for pH and calcium carbonates spatial prediction. Good predictions were achieved for pH (R2 of 0.417–0.469, depending on the method), organic carbon (R2 of 0.302–0.443), calcium carbonates (R2 of 0.300–0.330) and moderate predictions for electric conductivity, total nitrogen, silt and sand (R2 of 0.155–0.331), while the lowest prediction characterizes the phosphorous content (R2 of 0.015–0.044). LUCAS proved to be a reliable and useful soil database and the achieved spatial distributions of soil properties can be further used for national and regional soil studies.","container-title":"PLOS ONE","DOI":"10.1371/journal.pone.0289286","ISSN":"1932-6203","issue":"8","journalAbbreviation":"PLOS ONE","language":"en","page":"e0289286","publisher":"Public Library of Science","source":"PLoS Journals","title":"Spatial modelling of topsoil properties in Romania using geostatistical methods and machine learning","volume":"18","author":[{"family":"Patriche","given":"Cristian Valeriu"},{"family":"Roşca","given":"Bogdan"},{"family":"Pîrnău","given":"Radu Gabriel"},{"family":"Vasiliniuc","given":"Ionuţ"}],"issued":{"date-parts":[["2023",8,23]]}}}],"schema":"https://github.com/citation-style-language/schema/raw/master/csl-citation.json"} </w:instrText>
      </w:r>
      <w:r w:rsidR="00B24A0D">
        <w:rPr>
          <w:sz w:val="22"/>
        </w:rPr>
        <w:fldChar w:fldCharType="separate"/>
      </w:r>
      <w:r w:rsidR="00B24A0D" w:rsidRPr="00B24A0D">
        <w:rPr>
          <w:rFonts w:cs="Times New Roman"/>
          <w:sz w:val="22"/>
        </w:rPr>
        <w:t xml:space="preserve">Patriche et al. </w:t>
      </w:r>
      <w:r w:rsidR="00B24A0D">
        <w:rPr>
          <w:rFonts w:cs="Times New Roman"/>
          <w:sz w:val="22"/>
        </w:rPr>
        <w:t>(</w:t>
      </w:r>
      <w:r w:rsidR="00B24A0D" w:rsidRPr="00B24A0D">
        <w:rPr>
          <w:rFonts w:cs="Times New Roman"/>
          <w:sz w:val="22"/>
        </w:rPr>
        <w:t>2023)</w:t>
      </w:r>
      <w:r w:rsidR="00B24A0D">
        <w:rPr>
          <w:sz w:val="22"/>
        </w:rPr>
        <w:fldChar w:fldCharType="end"/>
      </w:r>
      <w:r w:rsidRPr="00AF223D">
        <w:rPr>
          <w:sz w:val="22"/>
        </w:rPr>
        <w:t xml:space="preserve">, predictive performance depends largely on the soil property being investigated. Nitrogen (N) and potassium (K) tend to </w:t>
      </w:r>
      <w:r w:rsidRPr="00AF223D">
        <w:rPr>
          <w:sz w:val="22"/>
        </w:rPr>
        <w:lastRenderedPageBreak/>
        <w:t>show a higher correlation with remote sensing data, while phosphorus (P) is among the most difficult properties to predict, often resulting in low R² values at large spatial scales. In the present study, the response variable corresponds to a composite soil quality index derived from multiple physicochemical properties and evaluated at the provincial scale, which may explain the moderate R² values observed.</w:t>
      </w:r>
    </w:p>
    <w:p w14:paraId="5A583CE6" w14:textId="344A29AF" w:rsidR="003B41E9" w:rsidRPr="00AF223D" w:rsidRDefault="00031200">
      <w:pPr>
        <w:rPr>
          <w:sz w:val="22"/>
        </w:rPr>
      </w:pPr>
      <w:r w:rsidRPr="00397B1C">
        <w:rPr>
          <w:color w:val="EE0000"/>
          <w:sz w:val="22"/>
        </w:rPr>
        <w:t>The permutation-importance analysis indicated</w:t>
      </w:r>
      <w:r w:rsidRPr="00397B1C" w:rsidDel="00031200">
        <w:rPr>
          <w:color w:val="EE0000"/>
          <w:sz w:val="22"/>
        </w:rPr>
        <w:t xml:space="preserve"> </w:t>
      </w:r>
      <w:r w:rsidRPr="00AF223D">
        <w:rPr>
          <w:sz w:val="22"/>
        </w:rPr>
        <w:t xml:space="preserve">that spatial coordinates (X, Y), along with precipitation, elevation, temperature, and </w:t>
      </w:r>
      <w:r w:rsidRPr="00031200">
        <w:rPr>
          <w:sz w:val="22"/>
        </w:rPr>
        <w:t>TRI</w:t>
      </w:r>
      <w:r w:rsidRPr="00AF223D">
        <w:rPr>
          <w:sz w:val="22"/>
        </w:rPr>
        <w:t xml:space="preserve">, were the most influential predictors, suggesting a strong spatial structuring of the </w:t>
      </w:r>
      <w:proofErr w:type="spellStart"/>
      <w:r w:rsidRPr="00AF223D">
        <w:rPr>
          <w:sz w:val="22"/>
        </w:rPr>
        <w:t>SQIw</w:t>
      </w:r>
      <w:proofErr w:type="spellEnd"/>
      <w:r w:rsidRPr="00AF223D">
        <w:rPr>
          <w:sz w:val="22"/>
        </w:rPr>
        <w:t xml:space="preserve"> (</w:t>
      </w:r>
      <w:r w:rsidRPr="00AF223D">
        <w:rPr>
          <w:b/>
          <w:bCs/>
          <w:sz w:val="22"/>
        </w:rPr>
        <w:t>Supplementary Figure 1</w:t>
      </w:r>
      <w:r w:rsidRPr="00AF223D">
        <w:rPr>
          <w:sz w:val="22"/>
        </w:rPr>
        <w:t>).</w:t>
      </w:r>
      <w:r w:rsidR="00AC23B3">
        <w:rPr>
          <w:sz w:val="22"/>
        </w:rPr>
        <w:t xml:space="preserve"> </w:t>
      </w:r>
      <w:r w:rsidR="00AC23B3" w:rsidRPr="00397B1C">
        <w:rPr>
          <w:color w:val="EE0000"/>
          <w:sz w:val="22"/>
        </w:rPr>
        <w:t>This spatial structuring is consistent with previous evidence from Peruvian agricultural soils, where edaphic, geochemical, and geomorphological factors, including parent material, soil classification, and exchangeable-cation relationships, explained marked spatial variability in soil constituents</w:t>
      </w:r>
      <w:r w:rsidR="00B24A0D">
        <w:rPr>
          <w:color w:val="EE0000"/>
          <w:sz w:val="22"/>
        </w:rPr>
        <w:t xml:space="preserve"> </w:t>
      </w:r>
      <w:r w:rsidR="00B24A0D">
        <w:rPr>
          <w:color w:val="EE0000"/>
          <w:sz w:val="22"/>
        </w:rPr>
        <w:fldChar w:fldCharType="begin"/>
      </w:r>
      <w:r w:rsidR="00B24A0D">
        <w:rPr>
          <w:color w:val="EE0000"/>
          <w:sz w:val="22"/>
        </w:rPr>
        <w:instrText xml:space="preserve"> ADDIN ZOTERO_ITEM CSL_CITATION {"citationID":"KKtqdLBg","properties":{"unsorted":false,"formattedCitation":"(Sol\\uc0\\u243{}rzano et\\uc0\\u160{}al., 2025)","plainCitation":"(Solórzano et al., 2025)","noteIndex":0},"citationItems":[{"id":696,"uris":["http://zotero.org/users/14068823/items/B2I4VE4R"],"itemData":{"id":696,"type":"article-journal","abstract":"Potentially toxic elements such as cadmium (Cd) in agricultural soils represent a global concern due to their toxicity and potential accumulation in the food chain. However, our understanding of cadmium’s complex sources and the mechanisms controlling its spatial distribution across diverse edaphic and geological contexts remains limited, particularly in underexplored agricultural regions. Our study aimed to assess the total accumulated Cd content in soils under avocado cultivation and its association with edaphic, geochemical, and geomorphological variables. To this end, we considered the total concentrations of other metals and explored their associations to gain a better understanding of Cd’s spatial distribution. We analyzed 26 physicochemical properties, the total concentrations of 22 elements (including heavy and trace metals such as As, Ba, Cr, Cu, Hg, Ni, Pb, Sb, Se, Sr, Tl, V, and Zn and major elements such as Al, Ca, Fe, K, Mg, and Na), and six geospatial variables in 410 soil samples collected from various avocado-growing regions in Peru in order to identity potential associations that could help explain the spatial patterns of Cd. For data analysis, we applied (1) univariate statistics (skewness, kurtosis); (2) multivariate methods such as Spearman correlations and principal component analysis (PCA); (3) spatial modeling using the Geodetector tool; and (4) non-parametric testing (Kruskal–Wallis test with Dunn’s post hoc test). Our results indicated (1) the presence of hotspots with Cd concentrations exceeding 3 mg·kg−1, displaying a leptokurtic distribution (skewness = 7.3); (2) dominant accumulation mechanisms involving co-adsorption and cation competition (Na+, Ca2+), as well as geogenic co-accumulation with Zn and Pb; and (3) significantly higher Cd concentrations in Leptosols derived from Cretaceous intermediate igneous rocks (diorites/tonalites), averaging 1.33 mg kg−1 compared to 0.20 mg·kg−1 in alluvial soils (p &lt; 0.0001). The factors with the greatest explanatory power (q &gt; 15%, Geodetector) were the Zn content, parent material, geological age, and soil taxonomic classification. These findings provide edaphogenetic insights that can inform soil cadmium (Cd) management strategies, including recommendations to avoid establishing new plantations in areas with a high risk of Cd accumulation. Such approaches can enhance the efficiency of mitigation programs and reduce the risks to export markets.","container-title":"Agriculture","DOI":"10.3390/agriculture15131413","ISSN":"2077-0472","issue":"13","language":"en","license":"http://creativecommons.org/licenses/by/3.0/","page":"1413","publisher":"Multidisciplinary Digital Publishing Institute","source":"www.mdpi.com","title":"Spatial Distribution of Cadmium in Avocado-Cultivated Soils of Peru: Influence of Parent Material, Exchangeable Cations, and Trace Elements","title-short":"Spatial Distribution of Cadmium in Avocado-Cultivated Soils of Peru","volume":"15","author":[{"family":"Solórzano","given":"Richard"},{"family":"Llerena","given":"Rigel"},{"family":"Mejía","given":"Sharon"},{"family":"Cruz","given":"Juancarlos"},{"family":"Quispe","given":"Kenyi"}],"issued":{"date-parts":[["2025",1]]}}}],"schema":"https://github.com/citation-style-language/schema/raw/master/csl-citation.json"} </w:instrText>
      </w:r>
      <w:r w:rsidR="00B24A0D">
        <w:rPr>
          <w:color w:val="EE0000"/>
          <w:sz w:val="22"/>
        </w:rPr>
        <w:fldChar w:fldCharType="separate"/>
      </w:r>
      <w:r w:rsidR="00B24A0D" w:rsidRPr="00B24A0D">
        <w:rPr>
          <w:rFonts w:cs="Times New Roman"/>
          <w:sz w:val="22"/>
        </w:rPr>
        <w:t>(Solórzano et al., 2025)</w:t>
      </w:r>
      <w:r w:rsidR="00B24A0D">
        <w:rPr>
          <w:color w:val="EE0000"/>
          <w:sz w:val="22"/>
        </w:rPr>
        <w:fldChar w:fldCharType="end"/>
      </w:r>
      <w:r w:rsidR="00AC23B3">
        <w:rPr>
          <w:sz w:val="22"/>
        </w:rPr>
        <w:t>.</w:t>
      </w:r>
      <w:r w:rsidRPr="00AF223D">
        <w:rPr>
          <w:sz w:val="22"/>
        </w:rPr>
        <w:t xml:space="preserve"> Although previous research has shown that spectral indices such as SRI, GNDWI, or NDWI, combined with RF, can outperform single-band approaches</w:t>
      </w:r>
      <w:r w:rsidR="00B24A0D">
        <w:rPr>
          <w:sz w:val="22"/>
        </w:rPr>
        <w:t xml:space="preserve"> </w:t>
      </w:r>
      <w:r w:rsidR="00B24A0D">
        <w:rPr>
          <w:sz w:val="22"/>
        </w:rPr>
        <w:fldChar w:fldCharType="begin"/>
      </w:r>
      <w:r w:rsidR="00B24A0D">
        <w:rPr>
          <w:sz w:val="22"/>
        </w:rPr>
        <w:instrText xml:space="preserve"> ADDIN ZOTERO_ITEM CSL_CITATION {"citationID":"hjlsZmx6","properties":{"unsorted":false,"formattedCitation":"(Pizarro et\\uc0\\u160{}al., 2023)","plainCitation":"(Pizarro et al., 2023)","noteIndex":0},"citationItems":[{"id":568,"uris":["http://zotero.org/users/14068823/items/6CDHUWHE"],"itemData":{"id":568,"type":"article-journal","abstract":"The spatial heterogeneity of soil properties has a significant impact on crop growth, making it difficult to adopt site-specific crop management practices. Traditional laboratory-based analyses are costly, and data extrapolation for mapping soil properties using high-resolution imagery becomes a computationally expensive procedure, taking days or weeks to obtain accurate results using a desktop workstation. To overcome these challenges, cloud-based solutions such as Google Earth Engine (GEE) have been used to analyze complex data with machine learning algorithms. In this study, we explored the feasibility of designing and implementing a digital soil mapping approach in the GEE platform using high-resolution reflectance imagery derived from a thermal infrared and multispectral camera Altum (MicaSense, Seattle, WA, USA). We compared a suite of multispectral-derived soil and vegetation indices with in situ measurements of physical-chemical soil properties in agricultural lands in the Peruvian Mantaro Valley. The prediction ability of several machine learning algorithms (CART, XGBoost, and Random Forest) was evaluated using R2, to select the best predicted maps (R2 &gt; 0.80), for ten soil properties, including Lime, Clay, Sand, N, P, K, OM, Al, EC, and pH, using multispectral imagery and derived products such as spectral indices and a digital surface model (DSM). Our results indicate that the predictions based on spectral indices, most notably, SRI, GNDWI, NDWI, and ExG, in combination with CART and RF algorithms are superior to those based on individual spectral bands. Additionally, the DSM improves the model prediction accuracy, especially for K and Al. We demonstrate that high-resolution multispectral imagery processed in the GEE platform has the potential to develop soil properties prediction models essential in establishing adaptive soil monitoring programs for agricultural regions.","container-title":"Remote Sensing","DOI":"10.3390/rs15123203","ISSN":"2072-4292","issue":"12","language":"en","license":"http://creativecommons.org/licenses/by/3.0/","page":"3203","publisher":"Multidisciplinary Digital Publishing Institute","source":"www.mdpi.com","title":"Implementing Cloud Computing for the Digital Mapping of Agricultural Soil Properties from High Resolution UAV Multispectral Imagery","volume":"15","author":[{"family":"Pizarro","given":"Samuel"},{"family":"Pricope","given":"Narcisa G."},{"family":"Figueroa","given":"Deyanira"},{"family":"Carbajal","given":"Carlos"},{"family":"Quispe","given":"Miriam"},{"family":"Vera","given":"Jesús"},{"family":"Alejandro","given":"Lidiana"},{"family":"Achallma","given":"Lino"},{"family":"Gonzalez","given":"Izamar"},{"family":"Salazar","given":"Wilian"},{"family":"Loayza","given":"Hildo"},{"family":"Cruz","given":"Juancarlos"},{"family":"Arbizu","given":"Carlos I."}],"issued":{"date-parts":[["2023",1]]}}}],"schema":"https://github.com/citation-style-language/schema/raw/master/csl-citation.json"} </w:instrText>
      </w:r>
      <w:r w:rsidR="00B24A0D">
        <w:rPr>
          <w:sz w:val="22"/>
        </w:rPr>
        <w:fldChar w:fldCharType="separate"/>
      </w:r>
      <w:r w:rsidR="00B24A0D" w:rsidRPr="00B24A0D">
        <w:rPr>
          <w:rFonts w:cs="Times New Roman"/>
          <w:sz w:val="22"/>
        </w:rPr>
        <w:t>(Pizarro et al., 2023)</w:t>
      </w:r>
      <w:r w:rsidR="00B24A0D">
        <w:rPr>
          <w:sz w:val="22"/>
        </w:rPr>
        <w:fldChar w:fldCharType="end"/>
      </w:r>
      <w:r w:rsidRPr="00AF223D">
        <w:rPr>
          <w:sz w:val="22"/>
        </w:rPr>
        <w:t>, their contribution in this study was limited. This may be related to interannual variability and the integration of datasets from different sources and time periods, which increases the dispersion of predictors and the variability of the response</w:t>
      </w:r>
      <w:r w:rsidR="00B24A0D">
        <w:rPr>
          <w:sz w:val="22"/>
        </w:rPr>
        <w:t xml:space="preserve"> </w:t>
      </w:r>
      <w:r w:rsidR="00B24A0D">
        <w:rPr>
          <w:sz w:val="22"/>
        </w:rPr>
        <w:fldChar w:fldCharType="begin"/>
      </w:r>
      <w:r w:rsidR="00B24A0D">
        <w:rPr>
          <w:sz w:val="22"/>
        </w:rPr>
        <w:instrText xml:space="preserve"> ADDIN ZOTERO_ITEM CSL_CITATION {"citationID":"m7FPQIY1","properties":{"unsorted":false,"formattedCitation":"(Sahabiev et\\uc0\\u160{}al., 2021)","plainCitation":"(Sahabiev et al., 2021)","noteIndex":0},"citationItems":[{"id":569,"uris":["http://zotero.org/users/14068823/items/THNLV4KJ"],"itemData":{"id":569,"type":"article-journal","abstract":"Creating accurate digital maps of the agrochemical properties of soils on a field scale with a limited data set is a problem that slows down the introduction of precision farming. The use of machine learning methods based on the use of direct and indirect predictors of spatial changes in the agrochemical properties of soils is promising. Spectral indicators of open soil based on remote sensing data, as well as soil properties, were used to create digital maps of available forms of nitrogen, phosphorus, and potassium. It was shown that machine learning methods based on support vectors (SVMr) and random forest (RF) using spectral reflectance data are similarly accurate at spatial prediction. An acceptable prediction was obtained for available nitrogen and available potassium; the variability of available phosphorus was modeled less accurately. The coefficient of determination (R2) of the best model for nitrogen is R2SVMr = 0.90 (Landsat 8 OLI) and R2SVMr = 0.79 (Sentinel 2), for potassium—R2SVMr = 0.82 (Landsat 8 OLI) and R2SVMr = 0.77 (Sentinel 2), for phosphorus—R2SVMr = 0.68 (Landsat 8 OLI), R2SVMr = 0.64 (Sentinel 2). The models based on remote sensing data were refined when soil organic matter (SOC) and fractions of texture (Silt, Clay) were included as predictors. The SVMr models were the most accurate. For Landsat 8 OLI, the SVMr model has a R2 value: nitrogen—R2 = 0.95, potassium—R2 = 0.89 and phosphorus—R2 = 0.65. Based on Sentinel 2, nitrogen—R2 = 0.92, potassium—R2 = 0.88, phosphorus—R2 = 0.72. The spatial prediction of nitrogen content is influenced by SOC, potassium—by SOC and texture, phosphorus—by texture. The validation of the final models was carried out on an independent sample on soils from a chernozem zone. For nitrogen based on Landsat 8 OLI R2 = 0.88, for potassium R2 = 0.65, and for phosphorus R2 = 0.31. Based on Sentinel 2, for nitrogen R2 = 0.85, for potassium R2 = 0.62, and for phosphorus R2 = 0.71. The inclusion of SOC and texture in remote sensing-based machine learning models makes it possible to improve the spatial prediction of nitrogen, phosphorus and potassium availability of soils in chernozem zones and can potentially be widely used to create digital agrochemical maps on the scale of a single field.","container-title":"Agronomy","DOI":"10.3390/agronomy11112266","ISSN":"2073-4395","issue":"11","language":"en","license":"http://creativecommons.org/licenses/by/3.0/","page":"2266","publisher":"Multidisciplinary Digital Publishing Institute","source":"www.mdpi.com","title":"Spatial Prediction of Agrochemical Properties on the Scale of a Single Field Using Machine Learning Methods Based on Remote Sensing Data","volume":"11","author":[{"family":"Sahabiev","given":"Ilnas"},{"family":"Smirnova","given":"Elena"},{"family":"Giniyatullin","given":"Kamil"}],"issued":{"date-parts":[["2021",11]]}}}],"schema":"https://github.com/citation-style-language/schema/raw/master/csl-citation.json"} </w:instrText>
      </w:r>
      <w:r w:rsidR="00B24A0D">
        <w:rPr>
          <w:sz w:val="22"/>
        </w:rPr>
        <w:fldChar w:fldCharType="separate"/>
      </w:r>
      <w:r w:rsidR="00B24A0D" w:rsidRPr="00B24A0D">
        <w:rPr>
          <w:rFonts w:cs="Times New Roman"/>
          <w:sz w:val="22"/>
        </w:rPr>
        <w:t>(Sahabiev et al., 2021)</w:t>
      </w:r>
      <w:r w:rsidR="00B24A0D">
        <w:rPr>
          <w:sz w:val="22"/>
        </w:rPr>
        <w:fldChar w:fldCharType="end"/>
      </w:r>
      <w:r w:rsidRPr="00AF223D">
        <w:rPr>
          <w:sz w:val="22"/>
        </w:rPr>
        <w:t>, thus introducing additional uncertainty into the modeling</w:t>
      </w:r>
      <w:r w:rsidR="00B24A0D">
        <w:rPr>
          <w:sz w:val="22"/>
        </w:rPr>
        <w:t xml:space="preserve"> </w:t>
      </w:r>
      <w:r w:rsidR="00B24A0D">
        <w:rPr>
          <w:sz w:val="22"/>
        </w:rPr>
        <w:fldChar w:fldCharType="begin"/>
      </w:r>
      <w:r w:rsidR="00B24A0D">
        <w:rPr>
          <w:sz w:val="22"/>
        </w:rPr>
        <w:instrText xml:space="preserve"> ADDIN ZOTERO_ITEM CSL_CITATION {"citationID":"mf3udFGb","properties":{"unsorted":false,"formattedCitation":"(Enriquez et\\uc0\\u160{}al., 2025)","plainCitation":"(Enriquez et al., 2025)","noteIndex":0},"citationItems":[{"id":570,"uris":["http://zotero.org/users/14068823/items/W432DR67"],"itemData":{"id":570,"type":"article-journal","abstract":"Remote sensing is essential in precision agriculture as this approach provides high-resolution information on the soil’s physical and chemical parameters for detailed decision making. Globally, technologies such as remote sensing and machine learning are increasingly being used to infer these parameters. This study evaluates soil fertility changes and compares them with previous fertilization inputs using high-resolution multispectral imagery and in situ measurements. A UAV-captured image was used to predict the spatial distribution of soil parameters, generating fourteen spectral indices and a digital surface model (DSM) from 103 soil plots across 49.83 hectares. Machine learning algorithms, including classification and regression trees (CART) and random forest (RF), modeled the soil parameters (N-ppm, P-ppm, K-ppm, OM%, and EC-mS/m). The RF model outperformed others, with R2 values of 72% for N, 83% for P, 87% for K, 85% for OM, and 70% for EC in 2023. Significant spatiotemporal variations were observed between 2022 and 2023, including an increase in P (14.87 ppm) and a reduction in EC (−0.954 mS/m). High-resolution UAV imagery combined with machine learning proved highly effective for monitoring soil fertility. This approach, tailored to the Peruvian Andes, integrates spectral indices and field-collected data, offering innovative tools to optimize fertilization practices, address soil management challenges, and merge modern technology with traditional methods for sustainable agricultural practices.","container-title":"AgriEngineering","DOI":"10.3390/agriengineering7030070","ISSN":"2624-7402","issue":"3","language":"en","license":"http://creativecommons.org/licenses/by/3.0/","page":"70","publisher":"Multidisciplinary Digital Publishing Institute","source":"www.mdpi.com","title":"Detecting Changes in Soil Fertility Properties Using Multispectral UAV Images and Machine Learning in Central Peru","volume":"7","author":[{"family":"Enriquez","given":"Lucia"},{"family":"Ortega","given":"Kevin"},{"family":"Ccopi","given":"Dennis"},{"family":"Rios","given":"Claudia"},{"family":"Urquizo","given":"Julio"},{"family":"Patricio","given":"Solanch"},{"family":"Alejandro","given":"Lidiana"},{"family":"Oliva-Cruz","given":"Manuel"},{"family":"Barboza","given":"Elgar"},{"family":"Pizarro","given":"Samuel"}],"issued":{"date-parts":[["2025",3]]}}}],"schema":"https://github.com/citation-style-language/schema/raw/master/csl-citation.json"} </w:instrText>
      </w:r>
      <w:r w:rsidR="00B24A0D">
        <w:rPr>
          <w:sz w:val="22"/>
        </w:rPr>
        <w:fldChar w:fldCharType="separate"/>
      </w:r>
      <w:r w:rsidR="00B24A0D" w:rsidRPr="00B24A0D">
        <w:rPr>
          <w:rFonts w:cs="Times New Roman"/>
          <w:sz w:val="22"/>
        </w:rPr>
        <w:t>(Enriquez et al., 2025)</w:t>
      </w:r>
      <w:r w:rsidR="00B24A0D">
        <w:rPr>
          <w:sz w:val="22"/>
        </w:rPr>
        <w:fldChar w:fldCharType="end"/>
      </w:r>
      <w:r w:rsidR="00B24A0D">
        <w:rPr>
          <w:sz w:val="22"/>
        </w:rPr>
        <w:t>.</w:t>
      </w:r>
    </w:p>
    <w:p w14:paraId="06253274" w14:textId="668A129B" w:rsidR="003B41E9" w:rsidRPr="00AF223D" w:rsidRDefault="00000000">
      <w:pPr>
        <w:rPr>
          <w:sz w:val="22"/>
        </w:rPr>
      </w:pPr>
      <w:r w:rsidRPr="00AF223D">
        <w:rPr>
          <w:sz w:val="22"/>
        </w:rPr>
        <w:t xml:space="preserve">The superior performance of the RF+RK model is consistent with studies showing the benefits of integrating machine learning and </w:t>
      </w:r>
      <w:proofErr w:type="spellStart"/>
      <w:r w:rsidRPr="00AF223D">
        <w:rPr>
          <w:sz w:val="22"/>
        </w:rPr>
        <w:t>geostatistics</w:t>
      </w:r>
      <w:proofErr w:type="spellEnd"/>
      <w:r w:rsidRPr="00AF223D">
        <w:rPr>
          <w:sz w:val="22"/>
        </w:rPr>
        <w:t>.</w:t>
      </w:r>
      <w:r w:rsidR="00C945FE">
        <w:rPr>
          <w:sz w:val="22"/>
        </w:rPr>
        <w:t xml:space="preserve"> </w:t>
      </w:r>
      <w:r w:rsidR="00334D59">
        <w:rPr>
          <w:sz w:val="22"/>
        </w:rPr>
        <w:fldChar w:fldCharType="begin"/>
      </w:r>
      <w:r w:rsidR="00334D59">
        <w:rPr>
          <w:sz w:val="22"/>
        </w:rPr>
        <w:instrText xml:space="preserve"> ADDIN ZOTERO_ITEM CSL_CITATION {"citationID":"tnLx0m6E","properties":{"unsorted":false,"formattedCitation":"(Takoutsing &amp; Heuvelink, 2022)","plainCitation":"(Takoutsing &amp; Heuvelink, 2022)","noteIndex":0},"citationItems":[{"id":460,"uris":["http://zotero.org/users/14068823/items/979QZDIB"],"itemData":{"id":460,"type":"article-journal","abstract":"Geostatistics and machine learning have been extensively applied for modelling and predicting the spatial distribution of continuous soil variables. In addition to providing predictions, both techniques quantify the uncertainty associated with the predictions, although geostatistics is more developed in this respect. Despite the increased use of these techniques, most algorithms ignore that the soil measurements are not error-free. Recently, concern has also arisen about the extrapolation risk of these techniques, be it in geographic space, feature space, or both. In this paper, regression kriging (RK) and random forest (RF) were compared with respect to their ability to deliver accurate predictions and quantify prediction uncertainties, while accounting for measurement errors in the soil data. The sensitivity of results of both models to soil measurement errors was also evaluated, as well as their spatial extrapolation potential. This was done for a case study in Cameroon where soil pH, clay and organic carbon were mapped from measurements obtained using both conventional and proximal soil sensing methods. The results showed that both models produced comparable ranges and maps of predicted values for the soil properties of interest. Compared to RF, RK outperformed RF by presenting generally a higher Model Efficiency Coefficient (MEC), lower Root Mean Squared Error (RMSE) values and better extrapolation performance. The improvement in RMSE was about 10, 12 and 2 % while the improvement in MEC was on average 5, 22 and 1 % for pH, clay and SOC, respectively Overestimation of the local uncertainty observed for RK was larger than that of RF as shown by accuracy plots, indicating that prediction uncertainties were better quantified by the RF model. Better extrapolation performance was obtained with RK that derived better predictions than RF at unsampled locations as shown by cross-validation metrics and scatter plots, particularly when RK and RF were used for spatial extrapolation. The effects of incorporating measurement errors were not significant both for the predictions and for the prediction uncertainties due to the fact that most calibration data had the same measurement error variance. Model comparison should go beyond common validation metrics that only evaluate prediction accuracy but must also account for the ability to quantify prediction uncertainty at unsampled locations.","container-title":"Geoderma","DOI":"10.1016/j.geoderma.2022.116192","ISSN":"0016-7061","journalAbbreviation":"Geoderma","page":"116192","source":"ScienceDirect","title":"Comparing the prediction performance, uncertainty quantification and extrapolation potential of regression kriging and random forest while accounting for soil measurement errors","volume":"428","author":[{"family":"Takoutsing","given":"Bertin"},{"family":"Heuvelink","given":"Gerard B. M."}],"issued":{"date-parts":[["2022",12,15]]}}}],"schema":"https://github.com/citation-style-language/schema/raw/master/csl-citation.json"} </w:instrText>
      </w:r>
      <w:r w:rsidR="00334D59">
        <w:rPr>
          <w:sz w:val="22"/>
        </w:rPr>
        <w:fldChar w:fldCharType="separate"/>
      </w:r>
      <w:r w:rsidR="00334D59" w:rsidRPr="00334D59">
        <w:rPr>
          <w:rFonts w:cs="Times New Roman"/>
          <w:sz w:val="22"/>
        </w:rPr>
        <w:t xml:space="preserve">Takoutsing &amp; Heuvelink </w:t>
      </w:r>
      <w:r w:rsidR="00334D59">
        <w:rPr>
          <w:rFonts w:cs="Times New Roman"/>
          <w:sz w:val="22"/>
        </w:rPr>
        <w:t>(</w:t>
      </w:r>
      <w:r w:rsidR="00334D59" w:rsidRPr="00334D59">
        <w:rPr>
          <w:rFonts w:cs="Times New Roman"/>
          <w:sz w:val="22"/>
        </w:rPr>
        <w:t>2022)</w:t>
      </w:r>
      <w:r w:rsidR="00334D59">
        <w:rPr>
          <w:sz w:val="22"/>
        </w:rPr>
        <w:fldChar w:fldCharType="end"/>
      </w:r>
      <w:r w:rsidR="00334D59">
        <w:rPr>
          <w:sz w:val="22"/>
        </w:rPr>
        <w:t xml:space="preserve"> </w:t>
      </w:r>
      <w:r w:rsidRPr="00AF223D">
        <w:rPr>
          <w:sz w:val="22"/>
        </w:rPr>
        <w:t>showed that RK outperformed RF in mapping soil pH, clay, and organic carbon, achieving lower RMSE and better extrapolation capability. However, conflicting results have also been found.</w:t>
      </w:r>
      <w:r w:rsidR="00334D59">
        <w:rPr>
          <w:sz w:val="22"/>
        </w:rPr>
        <w:t xml:space="preserve"> </w:t>
      </w:r>
      <w:r w:rsidR="00334D59">
        <w:rPr>
          <w:sz w:val="22"/>
        </w:rPr>
        <w:fldChar w:fldCharType="begin"/>
      </w:r>
      <w:r w:rsidR="00334D59">
        <w:rPr>
          <w:sz w:val="22"/>
        </w:rPr>
        <w:instrText xml:space="preserve"> ADDIN ZOTERO_ITEM CSL_CITATION {"citationID":"gjl6v8db","properties":{"unsorted":false,"formattedCitation":"(Pouladi et\\uc0\\u160{}al., 2019)","plainCitation":"(Pouladi et al., 2019)","noteIndex":0},"citationItems":[{"id":465,"uris":["http://zotero.org/users/14068823/items/CPEPVAS5"],"itemData":{"id":465,"type":"article-journal","abstract":"The soil organic matter (SOM) content is strongly related to soil fertility and greenhouse gas emissions. Knowledge of the soil SOM content is therefore necessary for efficient and sustainable management practices. In this study, we compare the performance of five machine learning techniques for the prediction of SOM contents using remote sensing, proximal soil sensors and topographic data as environmental predictor. The methods used were kriging, Cubist, Random Forest and regression-kriging (Cubist- kriging and Random Forest kriging). 285 soil samples were collected from a 10 ha field in Denmark. 75% of the data were used for training and 25% for validation. NDVI (Normalized Difference Vegetation Index), RVI (Ratio Vegetation Index), DVI (Difference Vegetation Index) and SAVI (Soil-Adjusted Vegetation Index) were derived from Sentinel 2 images with 10 m resolution as auxiliary variables. Topographic variables were derived from a digital elevation model (DEM) with 1.6 m resolution. The performance of the methods was compared based on the coefficient of determination (R2) and root mean square error (RMSE). The results showed that kriging achieved the best performance, followed by regression-kriging. The models using only Cubist and Random forest had the poorest performance. The results, therefore, demonstrate that kriging can predict SOM contents without the need of auxiliary variables for fields with high sampling densities.","container-title":"Geoderma","DOI":"10.1016/j.geoderma.2019.02.019","ISSN":"0016-7061","journalAbbreviation":"Geoderma","page":"85-92","source":"ScienceDirect","title":"Mapping soil organic matter contents at field level with Cubist, Random Forest and kriging","volume":"342","author":[{"family":"Pouladi","given":"Nastaran"},{"family":"Møller","given":"Anders Bjørn"},{"family":"Tabatabai","given":"Salman"},{"family":"Greve","given":"Mogens H."}],"issued":{"date-parts":[["2019",5,15]]}}}],"schema":"https://github.com/citation-style-language/schema/raw/master/csl-citation.json"} </w:instrText>
      </w:r>
      <w:r w:rsidR="00334D59">
        <w:rPr>
          <w:sz w:val="22"/>
        </w:rPr>
        <w:fldChar w:fldCharType="separate"/>
      </w:r>
      <w:r w:rsidR="00334D59" w:rsidRPr="00334D59">
        <w:rPr>
          <w:rFonts w:cs="Times New Roman"/>
          <w:sz w:val="22"/>
        </w:rPr>
        <w:t xml:space="preserve">Pouladi et al. </w:t>
      </w:r>
      <w:r w:rsidR="00334D59">
        <w:rPr>
          <w:rFonts w:cs="Times New Roman"/>
          <w:sz w:val="22"/>
        </w:rPr>
        <w:t>(</w:t>
      </w:r>
      <w:r w:rsidR="00334D59" w:rsidRPr="00334D59">
        <w:rPr>
          <w:rFonts w:cs="Times New Roman"/>
          <w:sz w:val="22"/>
        </w:rPr>
        <w:t>2019)</w:t>
      </w:r>
      <w:r w:rsidR="00334D59">
        <w:rPr>
          <w:sz w:val="22"/>
        </w:rPr>
        <w:fldChar w:fldCharType="end"/>
      </w:r>
      <w:r w:rsidRPr="00AF223D">
        <w:rPr>
          <w:sz w:val="22"/>
        </w:rPr>
        <w:t xml:space="preserve"> observed that ordinary kriging can outperform hybrid models in certain contexts, while</w:t>
      </w:r>
      <w:r w:rsidR="00334D59">
        <w:rPr>
          <w:sz w:val="22"/>
        </w:rPr>
        <w:t xml:space="preserve"> </w:t>
      </w:r>
      <w:r w:rsidR="00334D59">
        <w:rPr>
          <w:sz w:val="22"/>
        </w:rPr>
        <w:fldChar w:fldCharType="begin"/>
      </w:r>
      <w:r w:rsidR="00334D59">
        <w:rPr>
          <w:sz w:val="22"/>
        </w:rPr>
        <w:instrText xml:space="preserve"> ADDIN ZOTERO_ITEM CSL_CITATION {"citationID":"vrjAq9Cl","properties":{"unsorted":false,"formattedCitation":"(Suleymanov et\\uc0\\u160{}al., 2023)","plainCitation":"(Suleymanov et al., 2023)","noteIndex":0},"citationItems":[{"id":467,"uris":["http://zotero.org/users/14068823/items/M2XAKAY6"],"itemData":{"id":467,"type":"article-journal","abstract":"The world's largest cities are characterized by environmental pollution, which endangers human health and biological species. Therefore, environmental monitoring and mapping of pollution levels are important tasks. To this end, we applied regression kriging (RK) and random forest (RF) for digital mapping of potentially toxic elements (PTEs) on the territory of Saint Petersburg (Russia). We predicted concentrations of As, Cd, Cu, Hg, Ni, Pb and Zn PTEs based on 87 sites. The covariates were represented by remote sensing, terrain and anthropogenic variables. The results showed that the elements were characterized by high variability and their content varied between 1 and 37 mg/kg for As, 0.1 and 2.7 for Cd, 4.7 and 674 for Cu, 0.005 and 3.6 for Hg, 2.8 and 66.8 for Ni, 3.4 and 858.8 for Pb, 15.4 and 1306.5 for Zn. We found that RK was the best performing model for Cu, Hg, Ni, Pb and Zn, with the lowest mean absolute error (MAE), root mean squared error (RMSE), and highest coefficient of determination (R2) and Nash–Sutcliffe model efficiency coefficient (NSE) values. RF method was better for predicting As content, while the performance of the models for Cd was the same. Nevertheless, R2 values remained below 0.23, signifying a difficulty in effectively modeling PTEs within urbanized regions. The study provides insight into the benefits of combining regression analysis and kriging, and highlights the importance of considering multiple modeling approaches in spatial prediction of PTEs.","container-title":"Environmental Earth Sciences","DOI":"10.1007/s12665-023-11272-9","ISSN":"1866-6299","issue":"23","journalAbbreviation":"Environ Earth Sci","language":"en","page":"561","source":"Springer Link","title":"Mapping of potentially toxic elements in the urban topsoil of St. Petersburg (Russia) using regression kriging and random forest algorithms","volume":"82","author":[{"family":"Suleymanov","given":"Azamat"},{"family":"Polyakov","given":"Vyacheslav"},{"family":"Kozlov","given":"Alexander"},{"family":"Abakumov","given":"Evgeny"},{"family":"Kuzmenko","given":"Petr"},{"family":"Telyagissov","given":"Salavat"}],"issued":{"date-parts":[["2023",11,9]]}}}],"schema":"https://github.com/citation-style-language/schema/raw/master/csl-citation.json"} </w:instrText>
      </w:r>
      <w:r w:rsidR="00334D59">
        <w:rPr>
          <w:sz w:val="22"/>
        </w:rPr>
        <w:fldChar w:fldCharType="separate"/>
      </w:r>
      <w:r w:rsidR="00334D59" w:rsidRPr="00334D59">
        <w:rPr>
          <w:rFonts w:cs="Times New Roman"/>
          <w:sz w:val="22"/>
        </w:rPr>
        <w:t xml:space="preserve">Suleymanov et al. </w:t>
      </w:r>
      <w:r w:rsidR="00334D59">
        <w:rPr>
          <w:rFonts w:cs="Times New Roman"/>
          <w:sz w:val="22"/>
        </w:rPr>
        <w:t>(</w:t>
      </w:r>
      <w:r w:rsidR="00334D59" w:rsidRPr="00334D59">
        <w:rPr>
          <w:rFonts w:cs="Times New Roman"/>
          <w:sz w:val="22"/>
        </w:rPr>
        <w:t>2023)</w:t>
      </w:r>
      <w:r w:rsidR="00334D59">
        <w:rPr>
          <w:sz w:val="22"/>
        </w:rPr>
        <w:fldChar w:fldCharType="end"/>
      </w:r>
      <w:r w:rsidRPr="00AF223D">
        <w:rPr>
          <w:sz w:val="22"/>
        </w:rPr>
        <w:t xml:space="preserve"> demonstrated that the relative performance of RF and RK depends on the specific property of the soil or element being modeled. Furthermore, comparative studies indicate that RF tends to perform well in terms of predictive power among machine learning algorithms</w:t>
      </w:r>
      <w:r w:rsidR="00334D59">
        <w:rPr>
          <w:sz w:val="22"/>
        </w:rPr>
        <w:t xml:space="preserve"> </w:t>
      </w:r>
      <w:r w:rsidR="00334D59">
        <w:rPr>
          <w:sz w:val="22"/>
        </w:rPr>
        <w:fldChar w:fldCharType="begin"/>
      </w:r>
      <w:r w:rsidR="00334D59">
        <w:rPr>
          <w:sz w:val="22"/>
        </w:rPr>
        <w:instrText xml:space="preserve"> ADDIN ZOTERO_ITEM CSL_CITATION {"citationID":"Nqt1aZEh","properties":{"unsorted":false,"formattedCitation":"(Enriquez et\\uc0\\u160{}al., 2025; Patriche et\\uc0\\u160{}al., 2023)","plainCitation":"(Enriquez et al., 2025; Patriche et al., 2023)","noteIndex":0},"citationItems":[{"id":570,"uris":["http://zotero.org/users/14068823/items/W432DR67"],"itemData":{"id":570,"type":"article-journal","abstract":"Remote sensing is essential in precision agriculture as this approach provides high-resolution information on the soil’s physical and chemical parameters for detailed decision making. Globally, technologies such as remote sensing and machine learning are increasingly being used to infer these parameters. This study evaluates soil fertility changes and compares them with previous fertilization inputs using high-resolution multispectral imagery and in situ measurements. A UAV-captured image was used to predict the spatial distribution of soil parameters, generating fourteen spectral indices and a digital surface model (DSM) from 103 soil plots across 49.83 hectares. Machine learning algorithms, including classification and regression trees (CART) and random forest (RF), modeled the soil parameters (N-ppm, P-ppm, K-ppm, OM%, and EC-mS/m). The RF model outperformed others, with R2 values of 72% for N, 83% for P, 87% for K, 85% for OM, and 70% for EC in 2023. Significant spatiotemporal variations were observed between 2022 and 2023, including an increase in P (14.87 ppm) and a reduction in EC (−0.954 mS/m). High-resolution UAV imagery combined with machine learning proved highly effective for monitoring soil fertility. This approach, tailored to the Peruvian Andes, integrates spectral indices and field-collected data, offering innovative tools to optimize fertilization practices, address soil management challenges, and merge modern technology with traditional methods for sustainable agricultural practices.","container-title":"AgriEngineering","DOI":"10.3390/agriengineering7030070","ISSN":"2624-7402","issue":"3","language":"en","license":"http://creativecommons.org/licenses/by/3.0/","page":"70","publisher":"Multidisciplinary Digital Publishing Institute","source":"www.mdpi.com","title":"Detecting Changes in Soil Fertility Properties Using Multispectral UAV Images and Machine Learning in Central Peru","volume":"7","author":[{"family":"Enriquez","given":"Lucia"},{"family":"Ortega","given":"Kevin"},{"family":"Ccopi","given":"Dennis"},{"family":"Rios","given":"Claudia"},{"family":"Urquizo","given":"Julio"},{"family":"Patricio","given":"Solanch"},{"family":"Alejandro","given":"Lidiana"},{"family":"Oliva-Cruz","given":"Manuel"},{"family":"Barboza","given":"Elgar"},{"family":"Pizarro","given":"Samuel"}],"issued":{"date-parts":[["2025",3]]}}},{"id":567,"uris":["http://zotero.org/users/14068823/items/2JE4ZU6H"],"itemData":{"id":567,"type":"article-journal","abstract":"Various research topics from the field of soil science or agriculture require digital maps of soil properties as input data. Such maps can be achieved by digital soil mapping (DSM) techniques which have developed consistently during the last decades. Our research focuses on the application of geostatistical methods (including ordinary kriging, regression-kriging and geographically weighted regression) and machine learning algorithms to produce high resolution digital maps of topsoil properties in Romania. Six continuous predictors were considered in our study (digital elevation model, topographic wetness index, normalized difference vegetation index, slope, latitude and longitude). A tolerance test was performed to ensure that all predictors can be used for the purpose of digital soil mapping. The input soil data was extracted from the LUCAS database and includes 7 chemical properties (pH, electrical conductivity, calcium carbonate, organic carbon, N, P, K) and the particle-size fractions (sand, silt, clay). The spatial autocorrelation is higher for pH, organic carbon and calcium carbonate, as indicated by the partial sill / nugget ratio of semivariograms, meaning that these properties are more predictable than the others by kriging interpolation. The optimal DSM method was selected by independent sample validation, using resampled statistics from 100 samples randomly extracted from the validation dataset. Also, an additional independent sample of soil profiles, comprising legacy soil data, and the 200k Romania soil map were used for a supplementary validation. The results show that machine learning and regression-kriging are the optimal methods in most cases. Among the machine learning tested algorithms, the best performance is associated with Support Vector Machines and Random Forests methods. The geographically weighted regression is also among the optimum methods for pH and calcium carbonates spatial prediction. Good predictions were achieved for pH (R2 of 0.417–0.469, depending on the method), organic carbon (R2 of 0.302–0.443), calcium carbonates (R2 of 0.300–0.330) and moderate predictions for electric conductivity, total nitrogen, silt and sand (R2 of 0.155–0.331), while the lowest prediction characterizes the phosphorous content (R2 of 0.015–0.044). LUCAS proved to be a reliable and useful soil database and the achieved spatial distributions of soil properties can be further used for national and regional soil studies.","container-title":"PLOS ONE","DOI":"10.1371/journal.pone.0289286","ISSN":"1932-6203","issue":"8","journalAbbreviation":"PLOS ONE","language":"en","page":"e0289286","publisher":"Public Library of Science","source":"PLoS Journals","title":"Spatial modelling of topsoil properties in Romania using geostatistical methods and machine learning","volume":"18","author":[{"family":"Patriche","given":"Cristian Valeriu"},{"family":"Roşca","given":"Bogdan"},{"family":"Pîrnău","given":"Radu Gabriel"},{"family":"Vasiliniuc","given":"Ionuţ"}],"issued":{"date-parts":[["2023",8,23]]}}}],"schema":"https://github.com/citation-style-language/schema/raw/master/csl-citation.json"} </w:instrText>
      </w:r>
      <w:r w:rsidR="00334D59">
        <w:rPr>
          <w:sz w:val="22"/>
        </w:rPr>
        <w:fldChar w:fldCharType="separate"/>
      </w:r>
      <w:r w:rsidR="00334D59" w:rsidRPr="00334D59">
        <w:rPr>
          <w:rFonts w:cs="Times New Roman"/>
          <w:sz w:val="22"/>
        </w:rPr>
        <w:t>(Enriquez et al., 2025; Patriche et al., 2023)</w:t>
      </w:r>
      <w:r w:rsidR="00334D59">
        <w:rPr>
          <w:sz w:val="22"/>
        </w:rPr>
        <w:fldChar w:fldCharType="end"/>
      </w:r>
      <w:hyperlink r:id="rId29"/>
      <w:r w:rsidRPr="00AF223D">
        <w:rPr>
          <w:sz w:val="22"/>
        </w:rPr>
        <w:t>. However, kriging has limitations related to sample density and its reduced capacity to model local variability driven by elevation, climate, or vegetation gradients</w:t>
      </w:r>
      <w:r w:rsidR="008E0310">
        <w:rPr>
          <w:sz w:val="22"/>
        </w:rPr>
        <w:t xml:space="preserve"> </w:t>
      </w:r>
      <w:r w:rsidR="008E0310">
        <w:rPr>
          <w:sz w:val="22"/>
        </w:rPr>
        <w:fldChar w:fldCharType="begin"/>
      </w:r>
      <w:r w:rsidR="008E0310">
        <w:rPr>
          <w:sz w:val="22"/>
        </w:rPr>
        <w:instrText xml:space="preserve"> ADDIN ZOTERO_ITEM CSL_CITATION {"citationID":"HjvkiyrQ","properties":{"unsorted":false,"formattedCitation":"(Pouladi et\\uc0\\u160{}al., 2019)","plainCitation":"(Pouladi et al., 2019)","noteIndex":0},"citationItems":[{"id":465,"uris":["http://zotero.org/users/14068823/items/CPEPVAS5"],"itemData":{"id":465,"type":"article-journal","abstract":"The soil organic matter (SOM) content is strongly related to soil fertility and greenhouse gas emissions. Knowledge of the soil SOM content is therefore necessary for efficient and sustainable management practices. In this study, we compare the performance of five machine learning techniques for the prediction of SOM contents using remote sensing, proximal soil sensors and topographic data as environmental predictor. The methods used were kriging, Cubist, Random Forest and regression-kriging (Cubist- kriging and Random Forest kriging). 285 soil samples were collected from a 10 ha field in Denmark. 75% of the data were used for training and 25% for validation. NDVI (Normalized Difference Vegetation Index), RVI (Ratio Vegetation Index), DVI (Difference Vegetation Index) and SAVI (Soil-Adjusted Vegetation Index) were derived from Sentinel 2 images with 10 m resolution as auxiliary variables. Topographic variables were derived from a digital elevation model (DEM) with 1.6 m resolution. The performance of the methods was compared based on the coefficient of determination (R2) and root mean square error (RMSE). The results showed that kriging achieved the best performance, followed by regression-kriging. The models using only Cubist and Random forest had the poorest performance. The results, therefore, demonstrate that kriging can predict SOM contents without the need of auxiliary variables for fields with high sampling densities.","container-title":"Geoderma","DOI":"10.1016/j.geoderma.2019.02.019","ISSN":"0016-7061","journalAbbreviation":"Geoderma","page":"85-92","source":"ScienceDirect","title":"Mapping soil organic matter contents at field level with Cubist, Random Forest and kriging","volume":"342","author":[{"family":"Pouladi","given":"Nastaran"},{"family":"Møller","given":"Anders Bjørn"},{"family":"Tabatabai","given":"Salman"},{"family":"Greve","given":"Mogens H."}],"issued":{"date-parts":[["2019",5,15]]}}}],"schema":"https://github.com/citation-style-language/schema/raw/master/csl-citation.json"} </w:instrText>
      </w:r>
      <w:r w:rsidR="008E0310">
        <w:rPr>
          <w:sz w:val="22"/>
        </w:rPr>
        <w:fldChar w:fldCharType="separate"/>
      </w:r>
      <w:r w:rsidR="008E0310" w:rsidRPr="008E0310">
        <w:rPr>
          <w:rFonts w:cs="Times New Roman"/>
          <w:sz w:val="22"/>
        </w:rPr>
        <w:t>(Pouladi et al., 2019)</w:t>
      </w:r>
      <w:r w:rsidR="008E0310">
        <w:rPr>
          <w:sz w:val="22"/>
        </w:rPr>
        <w:fldChar w:fldCharType="end"/>
      </w:r>
      <w:r w:rsidRPr="00AF223D">
        <w:rPr>
          <w:sz w:val="22"/>
        </w:rPr>
        <w:t>. In this context, the appropriate selection of auxiliary variables can improve the performance of RF+RK, especially when there is a strong correlation between the target variable and the predictors</w:t>
      </w:r>
      <w:r w:rsidR="008E0310">
        <w:rPr>
          <w:sz w:val="22"/>
        </w:rPr>
        <w:t xml:space="preserve"> </w:t>
      </w:r>
      <w:r w:rsidR="008E0310">
        <w:rPr>
          <w:sz w:val="22"/>
        </w:rPr>
        <w:fldChar w:fldCharType="begin"/>
      </w:r>
      <w:r w:rsidR="008E0310">
        <w:rPr>
          <w:sz w:val="22"/>
        </w:rPr>
        <w:instrText xml:space="preserve"> ADDIN ZOTERO_ITEM CSL_CITATION {"citationID":"DEjQTPzy","properties":{"unsorted":false,"formattedCitation":"(Gia Pham et\\uc0\\u160{}al., 2019)","plainCitation":"(Gia Pham et al., 2019)","noteIndex":0},"citationItems":[{"id":571,"uris":["http://zotero.org/users/14068823/items/36HJAXLN"],"itemData":{"id":571,"type":"article-journal","abstract":"Soil property maps are essential resources for agricultural land use. However, soil properties mapping is costly and time-consuming, especially in the regions with complicated topographic conditions. This study was conducted in a hilly region of Central Vietnam with the following objectives: (i) to evaluate the best environmental variables to estimate soil organic carbon (SOC), total nitrogen (TN), and soil reaction (pH) with a regression kriging (RK) model, and (ii) to compare the accuracy of the ordinary kriging (OK) and RK methods. SOC, TN, and soil pH data were measured at 155 locations within the research area with a sampling grid of 2 km × 2 km for a soil layer from 0 to 30 cm depth. From these samples, 117 were used for interpolation, and the 38 randomly remaining samples were used for evaluating accuracy. The chosen environmental variables are land use type (LUT), topographic wetness index (TWI), and transformed soil adjusted vegetation index (TSAVI). The results indicate that the LUT variable is more effective than TWI and TSAVI for determining TN and pH when using the RK method, with a variance of 7.00% and 18.40%, respectively. In contrast, a combination of the LUT and TWI variables is the best for SOC mapping with the RK method, with a variance of 14.98%. The OK method seemed more accurate than the RK method for SOC mapping by 3.33% and for TN mapping by 10% but the RK method was found more precise than the OK method for soil pH mapping by 1.81%. Further selection of auxiliary variables and higher sampling density should be considered to improve the accuracy of the RK method.","container-title":"ISPRS International Journal of Geo-Information","DOI":"10.3390/ijgi8030147","ISSN":"2220-9964","issue":"3","language":"en","license":"http://creativecommons.org/licenses/by/3.0/","page":"147","publisher":"Multidisciplinary Digital Publishing Institute","source":"www.mdpi.com","title":"Application of Ordinary Kriging and Regression Kriging Method for Soil Properties Mapping in Hilly Region of Central Vietnam","volume":"8","author":[{"family":"Gia Pham","given":"Tung"},{"family":"Kappas","given":"Martin"},{"family":"Van Huynh","given":"Chuong"},{"family":"Hoang Khanh Nguyen","given":"Linh"}],"issued":{"date-parts":[["2019",3]]}}}],"schema":"https://github.com/citation-style-language/schema/raw/master/csl-citation.json"} </w:instrText>
      </w:r>
      <w:r w:rsidR="008E0310">
        <w:rPr>
          <w:sz w:val="22"/>
        </w:rPr>
        <w:fldChar w:fldCharType="separate"/>
      </w:r>
      <w:r w:rsidR="008E0310" w:rsidRPr="008E0310">
        <w:rPr>
          <w:rFonts w:cs="Times New Roman"/>
          <w:sz w:val="22"/>
        </w:rPr>
        <w:t>(Gia Pham et al., 2019)</w:t>
      </w:r>
      <w:r w:rsidR="008E0310">
        <w:rPr>
          <w:sz w:val="22"/>
        </w:rPr>
        <w:fldChar w:fldCharType="end"/>
      </w:r>
      <w:r w:rsidRPr="00AF223D">
        <w:rPr>
          <w:sz w:val="22"/>
        </w:rPr>
        <w:t>.</w:t>
      </w:r>
    </w:p>
    <w:p w14:paraId="5C0D3905" w14:textId="77777777" w:rsidR="003B41E9" w:rsidRPr="00AF223D" w:rsidRDefault="00000000">
      <w:pPr>
        <w:rPr>
          <w:sz w:val="22"/>
        </w:rPr>
      </w:pPr>
      <w:r w:rsidRPr="00AF223D">
        <w:rPr>
          <w:sz w:val="22"/>
        </w:rPr>
        <w:t>Overall, the tests used in this study suggest that the relative performance of RF, RF+RK, or OK may depend on the soil property considered, spatial dependence, and the quality of auxiliary variables, which explains the moderate improvement observed with the hybrid approach in this study.</w:t>
      </w:r>
    </w:p>
    <w:p w14:paraId="02516D74" w14:textId="77777777" w:rsidR="003B41E9" w:rsidRPr="00AF223D" w:rsidRDefault="00000000">
      <w:pPr>
        <w:pStyle w:val="Ttulo2"/>
        <w:rPr>
          <w:sz w:val="22"/>
          <w:szCs w:val="22"/>
        </w:rPr>
      </w:pPr>
      <w:bookmarkStart w:id="38" w:name="limitations-and-future-perspectives"/>
      <w:bookmarkEnd w:id="37"/>
      <w:r w:rsidRPr="00AF223D">
        <w:rPr>
          <w:sz w:val="22"/>
          <w:szCs w:val="22"/>
        </w:rPr>
        <w:t>Limitations and future perspectives</w:t>
      </w:r>
    </w:p>
    <w:p w14:paraId="5902A14E" w14:textId="574AD243" w:rsidR="00FF2A26" w:rsidRPr="00AF223D" w:rsidRDefault="00000000">
      <w:pPr>
        <w:rPr>
          <w:sz w:val="22"/>
        </w:rPr>
      </w:pPr>
      <w:r w:rsidRPr="00AF223D">
        <w:rPr>
          <w:sz w:val="22"/>
        </w:rPr>
        <w:t xml:space="preserve">This study has some limitations that should be taken into account when interpreting the results. First, due to the complexity of accessing certain agricultural areas in the province, it was not possible to cover the entire </w:t>
      </w:r>
      <w:r w:rsidRPr="00AF223D">
        <w:rPr>
          <w:sz w:val="22"/>
        </w:rPr>
        <w:lastRenderedPageBreak/>
        <w:t xml:space="preserve">cultivated area uniformly with soil sampling. This resulted in sectors with lower sampling density, which may have increased local uncertainty and estimated variability in those areas. This should therefore be considered in spatial extrapolation schemes. Second, the </w:t>
      </w:r>
      <w:proofErr w:type="spellStart"/>
      <w:r w:rsidRPr="00AF223D">
        <w:rPr>
          <w:sz w:val="22"/>
        </w:rPr>
        <w:t>SQIw</w:t>
      </w:r>
      <w:proofErr w:type="spellEnd"/>
      <w:r w:rsidRPr="00AF223D">
        <w:rPr>
          <w:sz w:val="22"/>
        </w:rPr>
        <w:t xml:space="preserve">, being a composite index derived from multiple physicochemical properties, integrates different edaphic and management processes into a single metric, which may simplify the specific dynamics of each individual property. </w:t>
      </w:r>
      <w:r w:rsidR="00FF2A26" w:rsidRPr="00AF223D">
        <w:rPr>
          <w:sz w:val="22"/>
        </w:rPr>
        <w:t>In addition, the present study represents a spatial assessment based on a single sampling campaign conducted during the 2024–2025 agricultural season. Seasonal fluctuations in soil salinity may occur due to changes in rainfall, irrigation practices, and evapotranspiration. Therefore, the resulting maps should be interpreted as representative of the prevailing conditions during the sampling period rather than as permanent soil conditions. Future studies incorporating repeated seasonal sampling would allow the assessment of temporal dynamics and further improve long-term monitoring and model robustness.</w:t>
      </w:r>
    </w:p>
    <w:p w14:paraId="4ABA511B" w14:textId="58D358DC" w:rsidR="00092015" w:rsidRDefault="00000000">
      <w:pPr>
        <w:rPr>
          <w:sz w:val="22"/>
        </w:rPr>
      </w:pPr>
      <w:r w:rsidRPr="00AF223D">
        <w:rPr>
          <w:sz w:val="22"/>
        </w:rPr>
        <w:t xml:space="preserve">On the other hand, although topographic, climatic, and spectral covariates were incorporated, the high proportion of structural variance indicates that part of the variability of the </w:t>
      </w:r>
      <w:proofErr w:type="spellStart"/>
      <w:r w:rsidRPr="00AF223D">
        <w:rPr>
          <w:sz w:val="22"/>
        </w:rPr>
        <w:t>SQIw</w:t>
      </w:r>
      <w:proofErr w:type="spellEnd"/>
      <w:r w:rsidRPr="00AF223D">
        <w:rPr>
          <w:sz w:val="22"/>
        </w:rPr>
        <w:t xml:space="preserve"> may be due to landscape-scale processes that are not fully reflected in the variables included.</w:t>
      </w:r>
      <w:r w:rsidR="007B729D" w:rsidRPr="00AF223D">
        <w:t xml:space="preserve"> </w:t>
      </w:r>
      <w:r w:rsidR="007B729D" w:rsidRPr="00AF223D">
        <w:rPr>
          <w:sz w:val="22"/>
        </w:rPr>
        <w:t xml:space="preserve">Future studies could improve predictive performance by incorporating additional covariates directly related to salinity dynamics (e.g., electrical conductivity and exchangeable sodium percentage), soil moisture, irrigation conditions, and agricultural management practices, which may better represent short-term environmental variability and anthropogenic influences on soil quality. </w:t>
      </w:r>
      <w:r w:rsidRPr="00AF223D">
        <w:rPr>
          <w:sz w:val="22"/>
        </w:rPr>
        <w:t xml:space="preserve"> </w:t>
      </w:r>
      <w:r w:rsidR="007B729D" w:rsidRPr="00AF223D">
        <w:rPr>
          <w:sz w:val="22"/>
        </w:rPr>
        <w:t>Finally, although the hybrid approach proved viable at the provincial scale, its application in other regions will require local recalibration and higher sampling density to ensure model transferability and predictive robustness.</w:t>
      </w:r>
    </w:p>
    <w:p w14:paraId="1D6B9F26" w14:textId="77777777" w:rsidR="00031200" w:rsidRPr="00AF223D" w:rsidRDefault="00031200">
      <w:pPr>
        <w:rPr>
          <w:sz w:val="22"/>
        </w:rPr>
      </w:pPr>
    </w:p>
    <w:p w14:paraId="6733DF36" w14:textId="77777777" w:rsidR="003B41E9" w:rsidRPr="00AF223D" w:rsidRDefault="00000000">
      <w:pPr>
        <w:pStyle w:val="Ttulo1"/>
        <w:rPr>
          <w:sz w:val="22"/>
          <w:szCs w:val="22"/>
        </w:rPr>
      </w:pPr>
      <w:bookmarkStart w:id="39" w:name="conclusions"/>
      <w:bookmarkEnd w:id="34"/>
      <w:bookmarkEnd w:id="38"/>
      <w:r w:rsidRPr="00AF223D">
        <w:rPr>
          <w:bCs/>
          <w:sz w:val="22"/>
          <w:szCs w:val="22"/>
        </w:rPr>
        <w:lastRenderedPageBreak/>
        <w:t>CONCLUSIONS</w:t>
      </w:r>
    </w:p>
    <w:p w14:paraId="4C06FED5" w14:textId="5F98E377" w:rsidR="003B41E9" w:rsidRPr="00AF223D" w:rsidRDefault="00000000">
      <w:pPr>
        <w:rPr>
          <w:sz w:val="22"/>
        </w:rPr>
      </w:pPr>
      <w:r w:rsidRPr="00AF223D">
        <w:rPr>
          <w:sz w:val="22"/>
        </w:rPr>
        <w:t>This study developed a spatial predictive model to estimate the potential supply of macronutrients and agricultural gypsum requirements based on an integrated soil quality index (</w:t>
      </w:r>
      <w:proofErr w:type="spellStart"/>
      <w:r w:rsidRPr="00AF223D">
        <w:rPr>
          <w:sz w:val="22"/>
        </w:rPr>
        <w:t>SQIw</w:t>
      </w:r>
      <w:proofErr w:type="spellEnd"/>
      <w:r w:rsidRPr="00AF223D">
        <w:rPr>
          <w:sz w:val="22"/>
        </w:rPr>
        <w:t xml:space="preserve">) in mango and banana systems in northern Peru. The development of the </w:t>
      </w:r>
      <w:proofErr w:type="spellStart"/>
      <w:r w:rsidRPr="00AF223D">
        <w:rPr>
          <w:sz w:val="22"/>
        </w:rPr>
        <w:t>SQIw</w:t>
      </w:r>
      <w:proofErr w:type="spellEnd"/>
      <w:r w:rsidRPr="00AF223D">
        <w:rPr>
          <w:sz w:val="22"/>
        </w:rPr>
        <w:t xml:space="preserve"> allowed different physicochemical attributes to be grouped into </w:t>
      </w:r>
      <w:r w:rsidR="00AC23B3" w:rsidRPr="00397B1C">
        <w:rPr>
          <w:color w:val="EE0000"/>
          <w:sz w:val="22"/>
        </w:rPr>
        <w:t xml:space="preserve">a sensitive metric for diagnosing soil-quality constraints within salt-affected environments, particularly those associated with </w:t>
      </w:r>
      <w:proofErr w:type="spellStart"/>
      <w:r w:rsidR="00AC23B3" w:rsidRPr="00397B1C">
        <w:rPr>
          <w:color w:val="EE0000"/>
          <w:sz w:val="22"/>
        </w:rPr>
        <w:t>sodicity</w:t>
      </w:r>
      <w:proofErr w:type="spellEnd"/>
      <w:r w:rsidR="00AC23B3" w:rsidRPr="00397B1C">
        <w:rPr>
          <w:color w:val="EE0000"/>
          <w:sz w:val="22"/>
        </w:rPr>
        <w:t xml:space="preserve"> and alkalinity</w:t>
      </w:r>
      <w:r w:rsidRPr="00AF223D">
        <w:rPr>
          <w:sz w:val="22"/>
        </w:rPr>
        <w:t xml:space="preserve">. The associations observed between the </w:t>
      </w:r>
      <w:proofErr w:type="spellStart"/>
      <w:r w:rsidRPr="00AF223D">
        <w:rPr>
          <w:sz w:val="22"/>
        </w:rPr>
        <w:t>SQIw</w:t>
      </w:r>
      <w:proofErr w:type="spellEnd"/>
      <w:r w:rsidRPr="00AF223D">
        <w:rPr>
          <w:sz w:val="22"/>
        </w:rPr>
        <w:t xml:space="preserve"> and variables such as the percentage of exchangeable sodium or pH show its usefulness as a diagnostic tool for assessing fertility in environments affected by salts. The comparison between OK, RF, </w:t>
      </w:r>
      <w:r w:rsidRPr="00397B1C">
        <w:rPr>
          <w:color w:val="EE0000"/>
          <w:sz w:val="22"/>
        </w:rPr>
        <w:t>RF+RK</w:t>
      </w:r>
      <w:r w:rsidR="00031200" w:rsidRPr="00397B1C">
        <w:rPr>
          <w:color w:val="EE0000"/>
          <w:sz w:val="22"/>
        </w:rPr>
        <w:t xml:space="preserve"> and reduced RF+RK</w:t>
      </w:r>
      <w:r w:rsidRPr="00397B1C">
        <w:rPr>
          <w:color w:val="EE0000"/>
          <w:sz w:val="22"/>
        </w:rPr>
        <w:t xml:space="preserve"> </w:t>
      </w:r>
      <w:r w:rsidR="00031200" w:rsidRPr="00031200">
        <w:rPr>
          <w:color w:val="EE0000"/>
          <w:sz w:val="22"/>
        </w:rPr>
        <w:t>showed that the machine-learning-based approaches achieved better numerical predictive performance than ordinary kriging</w:t>
      </w:r>
      <w:r w:rsidRPr="00AF223D">
        <w:rPr>
          <w:sz w:val="22"/>
        </w:rPr>
        <w:t xml:space="preserve">. Although the improvement of the hybrid model was moderate, the results show the integration of machine learning and </w:t>
      </w:r>
      <w:proofErr w:type="spellStart"/>
      <w:r w:rsidRPr="00AF223D">
        <w:rPr>
          <w:sz w:val="22"/>
        </w:rPr>
        <w:t>geostatistics</w:t>
      </w:r>
      <w:proofErr w:type="spellEnd"/>
      <w:r w:rsidRPr="00AF223D">
        <w:rPr>
          <w:sz w:val="22"/>
        </w:rPr>
        <w:t xml:space="preserve"> as a robust approach for digital soil mapping. For agronomic purposes, the generated map allows for the delimitation of areas with different productive potential and guides specific management decisions. This includes the differentiated application of fertilizers and agricultural gypsum to mitigate </w:t>
      </w:r>
      <w:proofErr w:type="spellStart"/>
      <w:r w:rsidRPr="00AF223D">
        <w:rPr>
          <w:sz w:val="22"/>
        </w:rPr>
        <w:t>sodicity</w:t>
      </w:r>
      <w:proofErr w:type="spellEnd"/>
      <w:r w:rsidRPr="00AF223D">
        <w:rPr>
          <w:sz w:val="22"/>
        </w:rPr>
        <w:t xml:space="preserve"> and improve nutrient availability. Overall, the proposed methodology is an important technical tool to support sustainable fertility management in agroecosystems on the northern coast of Peru.</w:t>
      </w:r>
    </w:p>
    <w:p w14:paraId="436B1C3A" w14:textId="77777777" w:rsidR="003B41E9" w:rsidRDefault="00000000">
      <w:pPr>
        <w:pStyle w:val="Ttulo1"/>
        <w:rPr>
          <w:bCs/>
          <w:sz w:val="22"/>
          <w:szCs w:val="22"/>
        </w:rPr>
      </w:pPr>
      <w:bookmarkStart w:id="40" w:name="references"/>
      <w:bookmarkEnd w:id="39"/>
      <w:r w:rsidRPr="00AF223D">
        <w:rPr>
          <w:bCs/>
          <w:sz w:val="22"/>
          <w:szCs w:val="22"/>
        </w:rPr>
        <w:lastRenderedPageBreak/>
        <w:t>REFERENCES</w:t>
      </w:r>
    </w:p>
    <w:p w14:paraId="0B57679F" w14:textId="77777777" w:rsidR="005453FD" w:rsidRPr="005453FD" w:rsidRDefault="005453FD" w:rsidP="005453FD">
      <w:pPr>
        <w:pStyle w:val="Bibliografa"/>
        <w:rPr>
          <w:rFonts w:cs="Times New Roman"/>
          <w:sz w:val="22"/>
        </w:rPr>
      </w:pPr>
      <w:r w:rsidRPr="005453FD">
        <w:rPr>
          <w:rFonts w:cs="Times New Roman"/>
          <w:sz w:val="22"/>
        </w:rPr>
        <w:fldChar w:fldCharType="begin"/>
      </w:r>
      <w:r w:rsidRPr="005453FD">
        <w:rPr>
          <w:rFonts w:cs="Times New Roman"/>
          <w:sz w:val="22"/>
        </w:rPr>
        <w:instrText xml:space="preserve"> ADDIN ZOTERO_BIBL {"uncited":[],"omitted":[],"custom":[]} CSL_BIBLIOGRAPHY </w:instrText>
      </w:r>
      <w:r w:rsidRPr="005453FD">
        <w:rPr>
          <w:rFonts w:cs="Times New Roman"/>
          <w:sz w:val="22"/>
        </w:rPr>
        <w:fldChar w:fldCharType="separate"/>
      </w:r>
      <w:r w:rsidRPr="005453FD">
        <w:rPr>
          <w:rFonts w:cs="Times New Roman"/>
          <w:sz w:val="22"/>
        </w:rPr>
        <w:t xml:space="preserve">AbdelRahman, M. A. E., &amp; Afifi, A. A. (2024). Digital mapping of soil properties using geomatics: Integration of GIS, GPS, and remote sensing applications. </w:t>
      </w:r>
      <w:r w:rsidRPr="005453FD">
        <w:rPr>
          <w:rFonts w:cs="Times New Roman"/>
          <w:i/>
          <w:iCs/>
          <w:sz w:val="22"/>
        </w:rPr>
        <w:t>Arabian Journal of Geosciences</w:t>
      </w:r>
      <w:r w:rsidRPr="005453FD">
        <w:rPr>
          <w:rFonts w:cs="Times New Roman"/>
          <w:sz w:val="22"/>
        </w:rPr>
        <w:t xml:space="preserve">, </w:t>
      </w:r>
      <w:r w:rsidRPr="005453FD">
        <w:rPr>
          <w:rFonts w:cs="Times New Roman"/>
          <w:i/>
          <w:iCs/>
          <w:sz w:val="22"/>
        </w:rPr>
        <w:t>17</w:t>
      </w:r>
      <w:r w:rsidRPr="005453FD">
        <w:rPr>
          <w:rFonts w:cs="Times New Roman"/>
          <w:sz w:val="22"/>
        </w:rPr>
        <w:t>(12), 330. https://doi.org/10.1007/s12517-024-12132-x</w:t>
      </w:r>
    </w:p>
    <w:p w14:paraId="332EE846" w14:textId="77777777" w:rsidR="005453FD" w:rsidRPr="005453FD" w:rsidRDefault="005453FD" w:rsidP="005453FD">
      <w:pPr>
        <w:pStyle w:val="Bibliografa"/>
        <w:rPr>
          <w:rFonts w:cs="Times New Roman"/>
          <w:sz w:val="22"/>
        </w:rPr>
      </w:pPr>
      <w:r w:rsidRPr="005453FD">
        <w:rPr>
          <w:rFonts w:cs="Times New Roman"/>
          <w:sz w:val="22"/>
        </w:rPr>
        <w:t xml:space="preserve">Abdu, A., Laekemariam, F., Gidago, G., &amp; Getaneh, L. (2023). Explaining the Soil Quality Using Different Assessment Techniques. </w:t>
      </w:r>
      <w:r w:rsidRPr="005453FD">
        <w:rPr>
          <w:rFonts w:cs="Times New Roman"/>
          <w:i/>
          <w:iCs/>
          <w:sz w:val="22"/>
        </w:rPr>
        <w:t>Applied and Environmental Soil Science</w:t>
      </w:r>
      <w:r w:rsidRPr="005453FD">
        <w:rPr>
          <w:rFonts w:cs="Times New Roman"/>
          <w:sz w:val="22"/>
        </w:rPr>
        <w:t xml:space="preserve">, </w:t>
      </w:r>
      <w:r w:rsidRPr="005453FD">
        <w:rPr>
          <w:rFonts w:cs="Times New Roman"/>
          <w:i/>
          <w:iCs/>
          <w:sz w:val="22"/>
        </w:rPr>
        <w:t>2023</w:t>
      </w:r>
      <w:r w:rsidRPr="005453FD">
        <w:rPr>
          <w:rFonts w:cs="Times New Roman"/>
          <w:sz w:val="22"/>
        </w:rPr>
        <w:t>(1), 6699154. https://doi.org/10.1155/2023/6699154</w:t>
      </w:r>
    </w:p>
    <w:p w14:paraId="29919109" w14:textId="77777777" w:rsidR="005453FD" w:rsidRPr="005453FD" w:rsidRDefault="005453FD" w:rsidP="005453FD">
      <w:pPr>
        <w:pStyle w:val="Bibliografa"/>
        <w:rPr>
          <w:rFonts w:cs="Times New Roman"/>
          <w:sz w:val="22"/>
        </w:rPr>
      </w:pPr>
      <w:r w:rsidRPr="005453FD">
        <w:rPr>
          <w:rFonts w:cs="Times New Roman"/>
          <w:sz w:val="22"/>
        </w:rPr>
        <w:t xml:space="preserve">Ahmad, A., Arif, M. S., Shahzad, S. M., Yasmeen, T., Shakoor, A., Iqbal, S., Riaz, A., Zahid, A., &amp; Chapman, S. J. (2024). Long-term raw crop residue but not burned residue incorporation improved soil multifunctionality in semi-arid agroecosystems. </w:t>
      </w:r>
      <w:r w:rsidRPr="005453FD">
        <w:rPr>
          <w:rFonts w:cs="Times New Roman"/>
          <w:i/>
          <w:iCs/>
          <w:sz w:val="22"/>
        </w:rPr>
        <w:t>Soil and Tillage Research</w:t>
      </w:r>
      <w:r w:rsidRPr="005453FD">
        <w:rPr>
          <w:rFonts w:cs="Times New Roman"/>
          <w:sz w:val="22"/>
        </w:rPr>
        <w:t xml:space="preserve">, </w:t>
      </w:r>
      <w:r w:rsidRPr="005453FD">
        <w:rPr>
          <w:rFonts w:cs="Times New Roman"/>
          <w:i/>
          <w:iCs/>
          <w:sz w:val="22"/>
        </w:rPr>
        <w:t>240</w:t>
      </w:r>
      <w:r w:rsidRPr="005453FD">
        <w:rPr>
          <w:rFonts w:cs="Times New Roman"/>
          <w:sz w:val="22"/>
        </w:rPr>
        <w:t>, 106073. https://doi.org/10.1016/j.still.2024.106073</w:t>
      </w:r>
    </w:p>
    <w:p w14:paraId="5075C44F" w14:textId="77777777" w:rsidR="005453FD" w:rsidRPr="005453FD" w:rsidRDefault="005453FD" w:rsidP="005453FD">
      <w:pPr>
        <w:pStyle w:val="Bibliografa"/>
        <w:rPr>
          <w:rFonts w:cs="Times New Roman"/>
          <w:sz w:val="22"/>
        </w:rPr>
      </w:pPr>
      <w:r w:rsidRPr="005453FD">
        <w:rPr>
          <w:rFonts w:cs="Times New Roman"/>
          <w:sz w:val="22"/>
        </w:rPr>
        <w:t xml:space="preserve">Akiba, T., Sano, S., Yanase, T., Ohta, T., &amp; Koyama, M. (2019). Optuna: A Next-generation Hyperparameter Optimization Framework. </w:t>
      </w:r>
      <w:r w:rsidRPr="005453FD">
        <w:rPr>
          <w:rFonts w:cs="Times New Roman"/>
          <w:i/>
          <w:iCs/>
          <w:sz w:val="22"/>
        </w:rPr>
        <w:t>Proceedings of the 25th ACM SIGKDD International Conference on Knowledge Discovery &amp; Data Mining, KDD ’19</w:t>
      </w:r>
      <w:r w:rsidRPr="005453FD">
        <w:rPr>
          <w:rFonts w:cs="Times New Roman"/>
          <w:sz w:val="22"/>
        </w:rPr>
        <w:t>, 2623-2631. https://doi.org/10.1145/3292500.3330701</w:t>
      </w:r>
    </w:p>
    <w:p w14:paraId="50F8F3D3" w14:textId="77777777" w:rsidR="005453FD" w:rsidRPr="005453FD" w:rsidRDefault="005453FD" w:rsidP="005453FD">
      <w:pPr>
        <w:pStyle w:val="Bibliografa"/>
        <w:rPr>
          <w:rFonts w:cs="Times New Roman"/>
          <w:sz w:val="22"/>
        </w:rPr>
      </w:pPr>
      <w:r w:rsidRPr="005453FD">
        <w:rPr>
          <w:rFonts w:cs="Times New Roman"/>
          <w:sz w:val="22"/>
        </w:rPr>
        <w:t xml:space="preserve">Almeida, A. M. M. de, Gomes, V. F. F., Mendes Filho, P. F., Lacerda, C. F. de, &amp; Freitas, E. D. (2016). Influence of salinity on the development of the banana colonised by arbuscular mycorrhizal fungi. </w:t>
      </w:r>
      <w:r w:rsidRPr="005453FD">
        <w:rPr>
          <w:rFonts w:cs="Times New Roman"/>
          <w:i/>
          <w:iCs/>
          <w:sz w:val="22"/>
        </w:rPr>
        <w:t>Revista Ciência Agronômica</w:t>
      </w:r>
      <w:r w:rsidRPr="005453FD">
        <w:rPr>
          <w:rFonts w:cs="Times New Roman"/>
          <w:sz w:val="22"/>
        </w:rPr>
        <w:t xml:space="preserve">, </w:t>
      </w:r>
      <w:r w:rsidRPr="005453FD">
        <w:rPr>
          <w:rFonts w:cs="Times New Roman"/>
          <w:i/>
          <w:iCs/>
          <w:sz w:val="22"/>
        </w:rPr>
        <w:t>47</w:t>
      </w:r>
      <w:r w:rsidRPr="005453FD">
        <w:rPr>
          <w:rFonts w:cs="Times New Roman"/>
          <w:sz w:val="22"/>
        </w:rPr>
        <w:t>, 421-428. https://doi.org/https://doi.org/10.5935/1806-6690.20160051</w:t>
      </w:r>
    </w:p>
    <w:p w14:paraId="79AEB96B" w14:textId="77777777" w:rsidR="005453FD" w:rsidRPr="005453FD" w:rsidRDefault="005453FD" w:rsidP="005453FD">
      <w:pPr>
        <w:pStyle w:val="Bibliografa"/>
        <w:rPr>
          <w:rFonts w:cs="Times New Roman"/>
          <w:sz w:val="22"/>
        </w:rPr>
      </w:pPr>
      <w:r w:rsidRPr="005453FD">
        <w:rPr>
          <w:rFonts w:cs="Times New Roman"/>
          <w:sz w:val="22"/>
        </w:rPr>
        <w:t>Arévalo-Hernández, J. J., Oliveira, E. M. de, Ferraz, G. A. e S., Polanía-Montiel, D. C., Liscano Solano, A. L., &amp; Silva, M. L. N. (2024). The delineation of management zones using soil quality indices for the cultivation of irrigated rice (</w:t>
      </w:r>
      <w:r w:rsidRPr="005453FD">
        <w:rPr>
          <w:rFonts w:cs="Times New Roman"/>
          <w:i/>
          <w:iCs/>
          <w:sz w:val="22"/>
        </w:rPr>
        <w:t>Oryza sativa</w:t>
      </w:r>
      <w:r w:rsidRPr="005453FD">
        <w:rPr>
          <w:rFonts w:cs="Times New Roman"/>
          <w:sz w:val="22"/>
        </w:rPr>
        <w:t xml:space="preserve"> L.) in Huila, Colombia. </w:t>
      </w:r>
      <w:r w:rsidRPr="005453FD">
        <w:rPr>
          <w:rFonts w:cs="Times New Roman"/>
          <w:i/>
          <w:iCs/>
          <w:sz w:val="22"/>
        </w:rPr>
        <w:t>Geoderma Regional</w:t>
      </w:r>
      <w:r w:rsidRPr="005453FD">
        <w:rPr>
          <w:rFonts w:cs="Times New Roman"/>
          <w:sz w:val="22"/>
        </w:rPr>
        <w:t xml:space="preserve">, </w:t>
      </w:r>
      <w:r w:rsidRPr="005453FD">
        <w:rPr>
          <w:rFonts w:cs="Times New Roman"/>
          <w:i/>
          <w:iCs/>
          <w:sz w:val="22"/>
        </w:rPr>
        <w:t>39</w:t>
      </w:r>
      <w:r w:rsidRPr="005453FD">
        <w:rPr>
          <w:rFonts w:cs="Times New Roman"/>
          <w:sz w:val="22"/>
        </w:rPr>
        <w:t>, e00886. https://doi.org/10.1016/j.geodrs.2024.e00886</w:t>
      </w:r>
    </w:p>
    <w:p w14:paraId="3F0C40EC" w14:textId="77777777" w:rsidR="005453FD" w:rsidRPr="005453FD" w:rsidRDefault="005453FD" w:rsidP="005453FD">
      <w:pPr>
        <w:pStyle w:val="Bibliografa"/>
        <w:rPr>
          <w:rFonts w:cs="Times New Roman"/>
          <w:sz w:val="22"/>
        </w:rPr>
      </w:pPr>
      <w:r w:rsidRPr="005453FD">
        <w:rPr>
          <w:rFonts w:cs="Times New Roman"/>
          <w:sz w:val="22"/>
        </w:rPr>
        <w:t xml:space="preserve">Atta, K., Mondal, S., Gorai, S., Singh, A. P., Kumari, A., Ghosh, T., Roy, A., Hembram, S., Gaikwad, D. J., Mondal, S., Bhattacharya, S., Jha, U. C., &amp; Jespersen, D. (2023). Impacts of salinity stress on crop plants: Improving salt tolerance through genetic and molecular dissection. </w:t>
      </w:r>
      <w:r w:rsidRPr="005453FD">
        <w:rPr>
          <w:rFonts w:cs="Times New Roman"/>
          <w:i/>
          <w:iCs/>
          <w:sz w:val="22"/>
        </w:rPr>
        <w:t>Frontiers in Plant Science</w:t>
      </w:r>
      <w:r w:rsidRPr="005453FD">
        <w:rPr>
          <w:rFonts w:cs="Times New Roman"/>
          <w:sz w:val="22"/>
        </w:rPr>
        <w:t xml:space="preserve">, </w:t>
      </w:r>
      <w:r w:rsidRPr="005453FD">
        <w:rPr>
          <w:rFonts w:cs="Times New Roman"/>
          <w:i/>
          <w:iCs/>
          <w:sz w:val="22"/>
        </w:rPr>
        <w:t>14</w:t>
      </w:r>
      <w:r w:rsidRPr="005453FD">
        <w:rPr>
          <w:rFonts w:cs="Times New Roman"/>
          <w:sz w:val="22"/>
        </w:rPr>
        <w:t>. https://doi.org/10.3389/fpls.2023.1241736</w:t>
      </w:r>
    </w:p>
    <w:p w14:paraId="54236BBC"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Barman, A., Sheoran, P., Yadav, R. K., Abhishek, R., Sharma, R., Prajapat, K., Singh, R. K., &amp; Kumar, S. (2021). Soil spatial variability characterization: Delineating index-based management zones in salt-affected agroecosystem of India. </w:t>
      </w:r>
      <w:r w:rsidRPr="005453FD">
        <w:rPr>
          <w:rFonts w:cs="Times New Roman"/>
          <w:i/>
          <w:iCs/>
          <w:sz w:val="22"/>
        </w:rPr>
        <w:t>Journal of Environmental Management</w:t>
      </w:r>
      <w:r w:rsidRPr="005453FD">
        <w:rPr>
          <w:rFonts w:cs="Times New Roman"/>
          <w:sz w:val="22"/>
        </w:rPr>
        <w:t xml:space="preserve">, </w:t>
      </w:r>
      <w:r w:rsidRPr="005453FD">
        <w:rPr>
          <w:rFonts w:cs="Times New Roman"/>
          <w:i/>
          <w:iCs/>
          <w:sz w:val="22"/>
        </w:rPr>
        <w:t>296</w:t>
      </w:r>
      <w:r w:rsidRPr="005453FD">
        <w:rPr>
          <w:rFonts w:cs="Times New Roman"/>
          <w:sz w:val="22"/>
        </w:rPr>
        <w:t>, 113243. https://doi.org/10.1016/j.jenvman.2021.113243</w:t>
      </w:r>
    </w:p>
    <w:p w14:paraId="6DE8E881" w14:textId="77777777" w:rsidR="005453FD" w:rsidRPr="005453FD" w:rsidRDefault="005453FD" w:rsidP="005453FD">
      <w:pPr>
        <w:pStyle w:val="Bibliografa"/>
        <w:rPr>
          <w:rFonts w:cs="Times New Roman"/>
          <w:sz w:val="22"/>
        </w:rPr>
      </w:pPr>
      <w:r w:rsidRPr="005453FD">
        <w:rPr>
          <w:rFonts w:cs="Times New Roman"/>
          <w:sz w:val="22"/>
        </w:rPr>
        <w:t xml:space="preserve">Breiman, L. (2001). Random Forests. </w:t>
      </w:r>
      <w:r w:rsidRPr="005453FD">
        <w:rPr>
          <w:rFonts w:cs="Times New Roman"/>
          <w:i/>
          <w:iCs/>
          <w:sz w:val="22"/>
        </w:rPr>
        <w:t>Machine Learning</w:t>
      </w:r>
      <w:r w:rsidRPr="005453FD">
        <w:rPr>
          <w:rFonts w:cs="Times New Roman"/>
          <w:sz w:val="22"/>
        </w:rPr>
        <w:t xml:space="preserve">, </w:t>
      </w:r>
      <w:r w:rsidRPr="005453FD">
        <w:rPr>
          <w:rFonts w:cs="Times New Roman"/>
          <w:i/>
          <w:iCs/>
          <w:sz w:val="22"/>
        </w:rPr>
        <w:t>45</w:t>
      </w:r>
      <w:r w:rsidRPr="005453FD">
        <w:rPr>
          <w:rFonts w:cs="Times New Roman"/>
          <w:sz w:val="22"/>
        </w:rPr>
        <w:t>(1), 5-32. https://doi.org/10.1023/A:1010933404324</w:t>
      </w:r>
    </w:p>
    <w:p w14:paraId="1B2C9B92" w14:textId="77777777" w:rsidR="005453FD" w:rsidRPr="005453FD" w:rsidRDefault="005453FD" w:rsidP="005453FD">
      <w:pPr>
        <w:pStyle w:val="Bibliografa"/>
        <w:rPr>
          <w:rFonts w:cs="Times New Roman"/>
          <w:sz w:val="22"/>
        </w:rPr>
      </w:pPr>
      <w:r w:rsidRPr="005453FD">
        <w:rPr>
          <w:rFonts w:cs="Times New Roman"/>
          <w:sz w:val="22"/>
        </w:rPr>
        <w:t xml:space="preserve">Chaudhry, H., Vasava, H. B., Chen, S., Saurette, D., Beri, A., Gillespie, A., &amp; Biswas, A. (2024). Evaluating the Soil Quality Index Using Three Methods to Assess Soil Fertility. </w:t>
      </w:r>
      <w:r w:rsidRPr="005453FD">
        <w:rPr>
          <w:rFonts w:cs="Times New Roman"/>
          <w:i/>
          <w:iCs/>
          <w:sz w:val="22"/>
        </w:rPr>
        <w:t>Sensors</w:t>
      </w:r>
      <w:r w:rsidRPr="005453FD">
        <w:rPr>
          <w:rFonts w:cs="Times New Roman"/>
          <w:sz w:val="22"/>
        </w:rPr>
        <w:t xml:space="preserve">, </w:t>
      </w:r>
      <w:r w:rsidRPr="005453FD">
        <w:rPr>
          <w:rFonts w:cs="Times New Roman"/>
          <w:i/>
          <w:iCs/>
          <w:sz w:val="22"/>
        </w:rPr>
        <w:t>24</w:t>
      </w:r>
      <w:r w:rsidRPr="005453FD">
        <w:rPr>
          <w:rFonts w:cs="Times New Roman"/>
          <w:sz w:val="22"/>
        </w:rPr>
        <w:t>(3), 864. https://doi.org/10.3390/s24030864</w:t>
      </w:r>
    </w:p>
    <w:p w14:paraId="1958E983" w14:textId="77777777" w:rsidR="005453FD" w:rsidRPr="005453FD" w:rsidRDefault="005453FD" w:rsidP="005453FD">
      <w:pPr>
        <w:pStyle w:val="Bibliografa"/>
        <w:rPr>
          <w:rFonts w:cs="Times New Roman"/>
          <w:sz w:val="22"/>
        </w:rPr>
      </w:pPr>
      <w:r w:rsidRPr="005453FD">
        <w:rPr>
          <w:rFonts w:cs="Times New Roman"/>
          <w:sz w:val="22"/>
        </w:rPr>
        <w:t xml:space="preserve">Condori-Ataupillco, T., Flores-Marquez, R., Quispe, K., Quispe-Rodriguez, J., Velásquez-Mantari, J., &amp; Solórzano-Acosta, R. (2025). Biochar-Amended Soils: A Water-Saving Strategy for Quinoa Cultivation in the Andes. </w:t>
      </w:r>
      <w:r w:rsidRPr="005453FD">
        <w:rPr>
          <w:rFonts w:cs="Times New Roman"/>
          <w:i/>
          <w:iCs/>
          <w:sz w:val="22"/>
        </w:rPr>
        <w:t>Journal of Sustainable Agriculture and Environment</w:t>
      </w:r>
      <w:r w:rsidRPr="005453FD">
        <w:rPr>
          <w:rFonts w:cs="Times New Roman"/>
          <w:sz w:val="22"/>
        </w:rPr>
        <w:t xml:space="preserve">, </w:t>
      </w:r>
      <w:r w:rsidRPr="005453FD">
        <w:rPr>
          <w:rFonts w:cs="Times New Roman"/>
          <w:i/>
          <w:iCs/>
          <w:sz w:val="22"/>
        </w:rPr>
        <w:t>4</w:t>
      </w:r>
      <w:r w:rsidRPr="005453FD">
        <w:rPr>
          <w:rFonts w:cs="Times New Roman"/>
          <w:sz w:val="22"/>
        </w:rPr>
        <w:t>(1), e70036. https://doi.org/10.1002/sae2.70036</w:t>
      </w:r>
    </w:p>
    <w:p w14:paraId="03030648" w14:textId="77777777" w:rsidR="005453FD" w:rsidRPr="005453FD" w:rsidRDefault="005453FD" w:rsidP="005453FD">
      <w:pPr>
        <w:pStyle w:val="Bibliografa"/>
        <w:rPr>
          <w:rFonts w:cs="Times New Roman"/>
          <w:sz w:val="22"/>
        </w:rPr>
      </w:pPr>
      <w:r w:rsidRPr="005453FD">
        <w:rPr>
          <w:rFonts w:cs="Times New Roman"/>
          <w:sz w:val="22"/>
        </w:rPr>
        <w:t xml:space="preserve">Cressie, N. (1993). Spatial Prediction and Kriging. En </w:t>
      </w:r>
      <w:r w:rsidRPr="005453FD">
        <w:rPr>
          <w:rFonts w:cs="Times New Roman"/>
          <w:i/>
          <w:iCs/>
          <w:sz w:val="22"/>
        </w:rPr>
        <w:t>Statistics for Spatial Data</w:t>
      </w:r>
      <w:r w:rsidRPr="005453FD">
        <w:rPr>
          <w:rFonts w:cs="Times New Roman"/>
          <w:sz w:val="22"/>
        </w:rPr>
        <w:t xml:space="preserve"> (pp. 105-209). John Wiley &amp; Sons, Ltd. https://doi.org/10.1002/9781119115151.ch3</w:t>
      </w:r>
    </w:p>
    <w:p w14:paraId="2614BAC5" w14:textId="77777777" w:rsidR="005453FD" w:rsidRPr="005453FD" w:rsidRDefault="005453FD" w:rsidP="005453FD">
      <w:pPr>
        <w:pStyle w:val="Bibliografa"/>
        <w:rPr>
          <w:rFonts w:cs="Times New Roman"/>
          <w:sz w:val="22"/>
        </w:rPr>
      </w:pPr>
      <w:r w:rsidRPr="005453FD">
        <w:rPr>
          <w:rFonts w:cs="Times New Roman"/>
          <w:sz w:val="22"/>
        </w:rPr>
        <w:t xml:space="preserve">Cuellar-Condori, N., Mejia, S., Quiñones, R., Mercado, R., Cristhian, A., Chávez-Zea, K., Ccosi, E., Cahuide, M., &amp; Quispe, K. (2026). Spatial Modelling of Soil Quality Index Using Regression–Kriging and Delineation of Nutrient Management Zones in High-Andean Quinoa Fields, Southern Peru. </w:t>
      </w:r>
      <w:r w:rsidRPr="005453FD">
        <w:rPr>
          <w:rFonts w:cs="Times New Roman"/>
          <w:i/>
          <w:iCs/>
          <w:sz w:val="22"/>
        </w:rPr>
        <w:t>Agronomy</w:t>
      </w:r>
      <w:r w:rsidRPr="005453FD">
        <w:rPr>
          <w:rFonts w:cs="Times New Roman"/>
          <w:sz w:val="22"/>
        </w:rPr>
        <w:t xml:space="preserve">, </w:t>
      </w:r>
      <w:r w:rsidRPr="005453FD">
        <w:rPr>
          <w:rFonts w:cs="Times New Roman"/>
          <w:i/>
          <w:iCs/>
          <w:sz w:val="22"/>
        </w:rPr>
        <w:t>16</w:t>
      </w:r>
      <w:r w:rsidRPr="005453FD">
        <w:rPr>
          <w:rFonts w:cs="Times New Roman"/>
          <w:sz w:val="22"/>
        </w:rPr>
        <w:t>(7), 680. https://doi.org/10.3390/agronomy16070680</w:t>
      </w:r>
    </w:p>
    <w:p w14:paraId="044DDD68" w14:textId="77777777" w:rsidR="005453FD" w:rsidRPr="005453FD" w:rsidRDefault="005453FD" w:rsidP="005453FD">
      <w:pPr>
        <w:pStyle w:val="Bibliografa"/>
        <w:rPr>
          <w:rFonts w:cs="Times New Roman"/>
          <w:sz w:val="22"/>
        </w:rPr>
      </w:pPr>
      <w:r w:rsidRPr="005453FD">
        <w:rPr>
          <w:rFonts w:cs="Times New Roman"/>
          <w:sz w:val="22"/>
        </w:rPr>
        <w:t xml:space="preserve">De Laurentiis, V., Secchi, M., Bos, U., Horn, R., Laurent, A., &amp; Sala, S. (2019). Soil quality index: Exploring options for a comprehensive assessment of land use impacts in LCA. </w:t>
      </w:r>
      <w:r w:rsidRPr="005453FD">
        <w:rPr>
          <w:rFonts w:cs="Times New Roman"/>
          <w:i/>
          <w:iCs/>
          <w:sz w:val="22"/>
        </w:rPr>
        <w:t>Journal of Cleaner Production</w:t>
      </w:r>
      <w:r w:rsidRPr="005453FD">
        <w:rPr>
          <w:rFonts w:cs="Times New Roman"/>
          <w:sz w:val="22"/>
        </w:rPr>
        <w:t xml:space="preserve">, </w:t>
      </w:r>
      <w:r w:rsidRPr="005453FD">
        <w:rPr>
          <w:rFonts w:cs="Times New Roman"/>
          <w:i/>
          <w:iCs/>
          <w:sz w:val="22"/>
        </w:rPr>
        <w:t>215</w:t>
      </w:r>
      <w:r w:rsidRPr="005453FD">
        <w:rPr>
          <w:rFonts w:cs="Times New Roman"/>
          <w:sz w:val="22"/>
        </w:rPr>
        <w:t>, 63-74. https://doi.org/10.1016/j.jclepro.2018.12.238</w:t>
      </w:r>
    </w:p>
    <w:p w14:paraId="3A338DFD" w14:textId="77777777" w:rsidR="005453FD" w:rsidRPr="005453FD" w:rsidRDefault="005453FD" w:rsidP="005453FD">
      <w:pPr>
        <w:pStyle w:val="Bibliografa"/>
        <w:rPr>
          <w:rFonts w:cs="Times New Roman"/>
          <w:sz w:val="22"/>
        </w:rPr>
      </w:pPr>
      <w:r w:rsidRPr="005453FD">
        <w:rPr>
          <w:rFonts w:cs="Times New Roman"/>
          <w:sz w:val="22"/>
        </w:rPr>
        <w:t xml:space="preserve">Demšar, J. (2006). Statistical Comparisons of Classifiers over Multiple Data Sets. </w:t>
      </w:r>
      <w:r w:rsidRPr="005453FD">
        <w:rPr>
          <w:rFonts w:cs="Times New Roman"/>
          <w:i/>
          <w:iCs/>
          <w:sz w:val="22"/>
        </w:rPr>
        <w:t>J. Mach. Learn. Res.</w:t>
      </w:r>
      <w:r w:rsidRPr="005453FD">
        <w:rPr>
          <w:rFonts w:cs="Times New Roman"/>
          <w:sz w:val="22"/>
        </w:rPr>
        <w:t xml:space="preserve">, </w:t>
      </w:r>
      <w:r w:rsidRPr="005453FD">
        <w:rPr>
          <w:rFonts w:cs="Times New Roman"/>
          <w:i/>
          <w:iCs/>
          <w:sz w:val="22"/>
        </w:rPr>
        <w:t>7</w:t>
      </w:r>
      <w:r w:rsidRPr="005453FD">
        <w:rPr>
          <w:rFonts w:cs="Times New Roman"/>
          <w:sz w:val="22"/>
        </w:rPr>
        <w:t>, 1-30.</w:t>
      </w:r>
    </w:p>
    <w:p w14:paraId="66DAE705"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Dharumarajan, S., Lalitha, M., Niranjana, K., &amp; Hegde, R. (2022). Evaluation of digital soil mapping approach for predicting soil fertility parameters—A case study from Karnataka Plateau, India. </w:t>
      </w:r>
      <w:r w:rsidRPr="005453FD">
        <w:rPr>
          <w:rFonts w:cs="Times New Roman"/>
          <w:i/>
          <w:iCs/>
          <w:sz w:val="22"/>
        </w:rPr>
        <w:t>Arabian Journal of Geosciences</w:t>
      </w:r>
      <w:r w:rsidRPr="005453FD">
        <w:rPr>
          <w:rFonts w:cs="Times New Roman"/>
          <w:sz w:val="22"/>
        </w:rPr>
        <w:t xml:space="preserve">, </w:t>
      </w:r>
      <w:r w:rsidRPr="005453FD">
        <w:rPr>
          <w:rFonts w:cs="Times New Roman"/>
          <w:i/>
          <w:iCs/>
          <w:sz w:val="22"/>
        </w:rPr>
        <w:t>15</w:t>
      </w:r>
      <w:r w:rsidRPr="005453FD">
        <w:rPr>
          <w:rFonts w:cs="Times New Roman"/>
          <w:sz w:val="22"/>
        </w:rPr>
        <w:t>(5), 386. https://doi.org/10.1007/s12517-022-09629-8</w:t>
      </w:r>
    </w:p>
    <w:p w14:paraId="76DD88EC" w14:textId="77777777" w:rsidR="005453FD" w:rsidRPr="005453FD" w:rsidRDefault="005453FD" w:rsidP="005453FD">
      <w:pPr>
        <w:pStyle w:val="Bibliografa"/>
        <w:rPr>
          <w:rFonts w:cs="Times New Roman"/>
          <w:sz w:val="22"/>
        </w:rPr>
      </w:pPr>
      <w:r w:rsidRPr="005453FD">
        <w:rPr>
          <w:rFonts w:cs="Times New Roman"/>
          <w:sz w:val="22"/>
        </w:rPr>
        <w:t xml:space="preserve">Diaz-Chuquizuta, H., Mejia, S., Mercado, R., Arroyo-Julca, M. K., Ore, R., Diaz-Chuquizuta, P., Manrique Gonzales, L. F., Sánchez-Ojanasta, M., &amp; Quispe, K. (2026). Spatial Modelling of Soil Quality and Lime Requirement for Precision Management in Humid Tropical Coffee Systems. </w:t>
      </w:r>
      <w:r w:rsidRPr="005453FD">
        <w:rPr>
          <w:rFonts w:cs="Times New Roman"/>
          <w:i/>
          <w:iCs/>
          <w:sz w:val="22"/>
        </w:rPr>
        <w:t>AgriEngineering</w:t>
      </w:r>
      <w:r w:rsidRPr="005453FD">
        <w:rPr>
          <w:rFonts w:cs="Times New Roman"/>
          <w:sz w:val="22"/>
        </w:rPr>
        <w:t xml:space="preserve">, </w:t>
      </w:r>
      <w:r w:rsidRPr="005453FD">
        <w:rPr>
          <w:rFonts w:cs="Times New Roman"/>
          <w:i/>
          <w:iCs/>
          <w:sz w:val="22"/>
        </w:rPr>
        <w:t>8</w:t>
      </w:r>
      <w:r w:rsidRPr="005453FD">
        <w:rPr>
          <w:rFonts w:cs="Times New Roman"/>
          <w:sz w:val="22"/>
        </w:rPr>
        <w:t>(3), 79. https://doi.org/10.3390/agriengineering8030079</w:t>
      </w:r>
    </w:p>
    <w:p w14:paraId="2BDACB55" w14:textId="77777777" w:rsidR="005453FD" w:rsidRPr="005453FD" w:rsidRDefault="005453FD" w:rsidP="005453FD">
      <w:pPr>
        <w:pStyle w:val="Bibliografa"/>
        <w:rPr>
          <w:rFonts w:cs="Times New Roman"/>
          <w:sz w:val="22"/>
        </w:rPr>
      </w:pPr>
      <w:r w:rsidRPr="005453FD">
        <w:rPr>
          <w:rFonts w:cs="Times New Roman"/>
          <w:sz w:val="22"/>
        </w:rPr>
        <w:t xml:space="preserve">Diaz-Gonzalez, F. A., Vuelvas, J., Correa, C. A., Vallejo, V. E., &amp; Patino, D. (2022). Machine learning and remote sensing techniques applied to estimate soil indicators – Review. </w:t>
      </w:r>
      <w:r w:rsidRPr="005453FD">
        <w:rPr>
          <w:rFonts w:cs="Times New Roman"/>
          <w:i/>
          <w:iCs/>
          <w:sz w:val="22"/>
        </w:rPr>
        <w:t>Ecological Indicators</w:t>
      </w:r>
      <w:r w:rsidRPr="005453FD">
        <w:rPr>
          <w:rFonts w:cs="Times New Roman"/>
          <w:sz w:val="22"/>
        </w:rPr>
        <w:t xml:space="preserve">, </w:t>
      </w:r>
      <w:r w:rsidRPr="005453FD">
        <w:rPr>
          <w:rFonts w:cs="Times New Roman"/>
          <w:i/>
          <w:iCs/>
          <w:sz w:val="22"/>
        </w:rPr>
        <w:t>135</w:t>
      </w:r>
      <w:r w:rsidRPr="005453FD">
        <w:rPr>
          <w:rFonts w:cs="Times New Roman"/>
          <w:sz w:val="22"/>
        </w:rPr>
        <w:t>, 108517. https://doi.org/10.1016/j.ecolind.2021.108517</w:t>
      </w:r>
    </w:p>
    <w:p w14:paraId="03B750A0" w14:textId="77777777" w:rsidR="005453FD" w:rsidRPr="005453FD" w:rsidRDefault="005453FD" w:rsidP="005453FD">
      <w:pPr>
        <w:pStyle w:val="Bibliografa"/>
        <w:rPr>
          <w:rFonts w:cs="Times New Roman"/>
          <w:sz w:val="22"/>
        </w:rPr>
      </w:pPr>
      <w:r w:rsidRPr="005453FD">
        <w:rPr>
          <w:rFonts w:cs="Times New Roman"/>
          <w:sz w:val="22"/>
        </w:rPr>
        <w:t xml:space="preserve">Doran, J. W., &amp; Zeiss, M. R. (2000). Soil health and sustainability: Managing the biotic component of soil quality. </w:t>
      </w:r>
      <w:r w:rsidRPr="005453FD">
        <w:rPr>
          <w:rFonts w:cs="Times New Roman"/>
          <w:i/>
          <w:iCs/>
          <w:sz w:val="22"/>
        </w:rPr>
        <w:t>Applied Soil Ecology, Special issue: Managing the Biotic component of Soil Quality</w:t>
      </w:r>
      <w:r w:rsidRPr="005453FD">
        <w:rPr>
          <w:rFonts w:cs="Times New Roman"/>
          <w:sz w:val="22"/>
        </w:rPr>
        <w:t xml:space="preserve">, </w:t>
      </w:r>
      <w:r w:rsidRPr="005453FD">
        <w:rPr>
          <w:rFonts w:cs="Times New Roman"/>
          <w:i/>
          <w:iCs/>
          <w:sz w:val="22"/>
        </w:rPr>
        <w:t>15</w:t>
      </w:r>
      <w:r w:rsidRPr="005453FD">
        <w:rPr>
          <w:rFonts w:cs="Times New Roman"/>
          <w:sz w:val="22"/>
        </w:rPr>
        <w:t>(1), 3-11. https://doi.org/10.1016/S0929-1393(00)00067-6</w:t>
      </w:r>
    </w:p>
    <w:p w14:paraId="2A9CCE50" w14:textId="77777777" w:rsidR="005453FD" w:rsidRPr="005453FD" w:rsidRDefault="005453FD" w:rsidP="005453FD">
      <w:pPr>
        <w:pStyle w:val="Bibliografa"/>
        <w:rPr>
          <w:rFonts w:cs="Times New Roman"/>
          <w:sz w:val="22"/>
        </w:rPr>
      </w:pPr>
      <w:r w:rsidRPr="005453FD">
        <w:rPr>
          <w:rFonts w:cs="Times New Roman"/>
          <w:sz w:val="22"/>
        </w:rPr>
        <w:t xml:space="preserve">Enriquez, L., Ortega, K., Ccopi, D., Rios, C., Urquizo, J., Patricio, S., Alejandro, L., Oliva-Cruz, M., Barboza, E., &amp; Pizarro, S. (2025). Detecting Changes in Soil Fertility Properties Using Multispectral UAV Images and Machine Learning in Central Peru. </w:t>
      </w:r>
      <w:r w:rsidRPr="005453FD">
        <w:rPr>
          <w:rFonts w:cs="Times New Roman"/>
          <w:i/>
          <w:iCs/>
          <w:sz w:val="22"/>
        </w:rPr>
        <w:t>AgriEngineering</w:t>
      </w:r>
      <w:r w:rsidRPr="005453FD">
        <w:rPr>
          <w:rFonts w:cs="Times New Roman"/>
          <w:sz w:val="22"/>
        </w:rPr>
        <w:t xml:space="preserve">, </w:t>
      </w:r>
      <w:r w:rsidRPr="005453FD">
        <w:rPr>
          <w:rFonts w:cs="Times New Roman"/>
          <w:i/>
          <w:iCs/>
          <w:sz w:val="22"/>
        </w:rPr>
        <w:t>7</w:t>
      </w:r>
      <w:r w:rsidRPr="005453FD">
        <w:rPr>
          <w:rFonts w:cs="Times New Roman"/>
          <w:sz w:val="22"/>
        </w:rPr>
        <w:t>(3), 70. https://doi.org/10.3390/agriengineering7030070</w:t>
      </w:r>
    </w:p>
    <w:p w14:paraId="5CA391C7" w14:textId="77777777" w:rsidR="005453FD" w:rsidRPr="005453FD" w:rsidRDefault="005453FD" w:rsidP="005453FD">
      <w:pPr>
        <w:pStyle w:val="Bibliografa"/>
        <w:rPr>
          <w:rFonts w:cs="Times New Roman"/>
          <w:sz w:val="22"/>
        </w:rPr>
      </w:pPr>
      <w:r w:rsidRPr="005453FD">
        <w:rPr>
          <w:rFonts w:cs="Times New Roman"/>
          <w:sz w:val="22"/>
        </w:rPr>
        <w:t xml:space="preserve">Falahatkar, S., Hosseini, S. M., Ayoubi, S., &amp; Salmanmahiny, A. (2016). Predicting soil organic carbon density using auxiliary environmental variables in northern Iran. </w:t>
      </w:r>
      <w:r w:rsidRPr="005453FD">
        <w:rPr>
          <w:rFonts w:cs="Times New Roman"/>
          <w:i/>
          <w:iCs/>
          <w:sz w:val="22"/>
        </w:rPr>
        <w:t>Archives of Agronomy and Soil Science</w:t>
      </w:r>
      <w:r w:rsidRPr="005453FD">
        <w:rPr>
          <w:rFonts w:cs="Times New Roman"/>
          <w:sz w:val="22"/>
        </w:rPr>
        <w:t xml:space="preserve">, </w:t>
      </w:r>
      <w:r w:rsidRPr="005453FD">
        <w:rPr>
          <w:rFonts w:cs="Times New Roman"/>
          <w:i/>
          <w:iCs/>
          <w:sz w:val="22"/>
        </w:rPr>
        <w:t>62</w:t>
      </w:r>
      <w:r w:rsidRPr="005453FD">
        <w:rPr>
          <w:rFonts w:cs="Times New Roman"/>
          <w:sz w:val="22"/>
        </w:rPr>
        <w:t>(3), 375-393. https://doi.org/10.1080/03650340.2015.1051472</w:t>
      </w:r>
    </w:p>
    <w:p w14:paraId="0A1C5A69" w14:textId="77777777" w:rsidR="005453FD" w:rsidRPr="005453FD" w:rsidRDefault="005453FD" w:rsidP="005453FD">
      <w:pPr>
        <w:pStyle w:val="Bibliografa"/>
        <w:rPr>
          <w:rFonts w:cs="Times New Roman"/>
          <w:sz w:val="22"/>
        </w:rPr>
      </w:pPr>
      <w:r w:rsidRPr="005453FD">
        <w:rPr>
          <w:rFonts w:cs="Times New Roman"/>
          <w:sz w:val="22"/>
        </w:rPr>
        <w:t xml:space="preserve">Fisher, A., Rudin, C., &amp; Dominici, F. (2019). All Models are Wrong, but Many are Useful: Learning a Variable’s Importance by Studying an Entire Class of Prediction Models Simultaneously. </w:t>
      </w:r>
      <w:r w:rsidRPr="005453FD">
        <w:rPr>
          <w:rFonts w:cs="Times New Roman"/>
          <w:i/>
          <w:iCs/>
          <w:sz w:val="22"/>
        </w:rPr>
        <w:t>Journal of Machine Learning Research</w:t>
      </w:r>
      <w:r w:rsidRPr="005453FD">
        <w:rPr>
          <w:rFonts w:cs="Times New Roman"/>
          <w:sz w:val="22"/>
        </w:rPr>
        <w:t xml:space="preserve">, </w:t>
      </w:r>
      <w:r w:rsidRPr="005453FD">
        <w:rPr>
          <w:rFonts w:cs="Times New Roman"/>
          <w:i/>
          <w:iCs/>
          <w:sz w:val="22"/>
        </w:rPr>
        <w:t>20</w:t>
      </w:r>
      <w:r w:rsidRPr="005453FD">
        <w:rPr>
          <w:rFonts w:cs="Times New Roman"/>
          <w:sz w:val="22"/>
        </w:rPr>
        <w:t>(177), 1-81.</w:t>
      </w:r>
    </w:p>
    <w:p w14:paraId="7CC51CD2" w14:textId="77777777" w:rsidR="005453FD" w:rsidRPr="005453FD" w:rsidRDefault="005453FD" w:rsidP="005453FD">
      <w:pPr>
        <w:pStyle w:val="Bibliografa"/>
        <w:rPr>
          <w:rFonts w:cs="Times New Roman"/>
          <w:sz w:val="22"/>
        </w:rPr>
      </w:pPr>
      <w:r w:rsidRPr="005453FD">
        <w:rPr>
          <w:rFonts w:cs="Times New Roman"/>
          <w:sz w:val="22"/>
        </w:rPr>
        <w:t xml:space="preserve">Fu, H., &amp; Yang, Y. (2023). How Plants Tolerate Salt Stress. </w:t>
      </w:r>
      <w:r w:rsidRPr="005453FD">
        <w:rPr>
          <w:rFonts w:cs="Times New Roman"/>
          <w:i/>
          <w:iCs/>
          <w:sz w:val="22"/>
        </w:rPr>
        <w:t>Current Issues in Molecular Biology</w:t>
      </w:r>
      <w:r w:rsidRPr="005453FD">
        <w:rPr>
          <w:rFonts w:cs="Times New Roman"/>
          <w:sz w:val="22"/>
        </w:rPr>
        <w:t xml:space="preserve">, </w:t>
      </w:r>
      <w:r w:rsidRPr="005453FD">
        <w:rPr>
          <w:rFonts w:cs="Times New Roman"/>
          <w:i/>
          <w:iCs/>
          <w:sz w:val="22"/>
        </w:rPr>
        <w:t>45</w:t>
      </w:r>
      <w:r w:rsidRPr="005453FD">
        <w:rPr>
          <w:rFonts w:cs="Times New Roman"/>
          <w:sz w:val="22"/>
        </w:rPr>
        <w:t>(7), 5914-5934. https://doi.org/10.3390/cimb45070374</w:t>
      </w:r>
    </w:p>
    <w:p w14:paraId="30EFAAB6"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Galán Saúco, V. (2020). </w:t>
      </w:r>
      <w:r w:rsidRPr="005453FD">
        <w:rPr>
          <w:rFonts w:cs="Times New Roman"/>
          <w:i/>
          <w:iCs/>
          <w:sz w:val="22"/>
        </w:rPr>
        <w:t>Nutrición y Fertilización del Mango: Revisión de Literatura</w:t>
      </w:r>
      <w:r w:rsidRPr="005453FD">
        <w:rPr>
          <w:rFonts w:cs="Times New Roman"/>
          <w:sz w:val="22"/>
        </w:rPr>
        <w:t>. Studocu. https://www.studocu.com/co/document/universidad-nacional-abierta-y-a-distancia/agricultura-biologica/nutricion-fertilizacion-spn/65279339</w:t>
      </w:r>
    </w:p>
    <w:p w14:paraId="7574DCDC" w14:textId="77777777" w:rsidR="005453FD" w:rsidRPr="005453FD" w:rsidRDefault="005453FD" w:rsidP="005453FD">
      <w:pPr>
        <w:pStyle w:val="Bibliografa"/>
        <w:rPr>
          <w:rFonts w:cs="Times New Roman"/>
          <w:sz w:val="22"/>
        </w:rPr>
      </w:pPr>
      <w:r w:rsidRPr="005453FD">
        <w:rPr>
          <w:rFonts w:cs="Times New Roman"/>
          <w:sz w:val="22"/>
        </w:rPr>
        <w:t xml:space="preserve">Gia Pham, T., Kappas, M., Van Huynh, C., &amp; Hoang Khanh Nguyen, L. (2019). Application of Ordinary Kriging and Regression Kriging Method for Soil Properties Mapping in Hilly Region of Central Vietnam. </w:t>
      </w:r>
      <w:r w:rsidRPr="005453FD">
        <w:rPr>
          <w:rFonts w:cs="Times New Roman"/>
          <w:i/>
          <w:iCs/>
          <w:sz w:val="22"/>
        </w:rPr>
        <w:t>ISPRS International Journal of Geo-Information</w:t>
      </w:r>
      <w:r w:rsidRPr="005453FD">
        <w:rPr>
          <w:rFonts w:cs="Times New Roman"/>
          <w:sz w:val="22"/>
        </w:rPr>
        <w:t xml:space="preserve">, </w:t>
      </w:r>
      <w:r w:rsidRPr="005453FD">
        <w:rPr>
          <w:rFonts w:cs="Times New Roman"/>
          <w:i/>
          <w:iCs/>
          <w:sz w:val="22"/>
        </w:rPr>
        <w:t>8</w:t>
      </w:r>
      <w:r w:rsidRPr="005453FD">
        <w:rPr>
          <w:rFonts w:cs="Times New Roman"/>
          <w:sz w:val="22"/>
        </w:rPr>
        <w:t>(3), 147. https://doi.org/10.3390/ijgi8030147</w:t>
      </w:r>
    </w:p>
    <w:p w14:paraId="1F49CE79" w14:textId="77777777" w:rsidR="005453FD" w:rsidRPr="005453FD" w:rsidRDefault="005453FD" w:rsidP="005453FD">
      <w:pPr>
        <w:pStyle w:val="Bibliografa"/>
        <w:rPr>
          <w:rFonts w:cs="Times New Roman"/>
          <w:sz w:val="22"/>
        </w:rPr>
      </w:pPr>
      <w:r w:rsidRPr="005453FD">
        <w:rPr>
          <w:rFonts w:cs="Times New Roman"/>
          <w:sz w:val="22"/>
        </w:rPr>
        <w:t xml:space="preserve">Gul, N., Salam, H. A., Ashraf, M., &amp; Taie Semiromi, M. (2025). Effect of alternating canal and marginal groundwater irrigation on banana yield, water use efficiency, and soil salinity under furrow plantation. </w:t>
      </w:r>
      <w:r w:rsidRPr="005453FD">
        <w:rPr>
          <w:rFonts w:cs="Times New Roman"/>
          <w:i/>
          <w:iCs/>
          <w:sz w:val="22"/>
        </w:rPr>
        <w:t>Agricultural Water Management</w:t>
      </w:r>
      <w:r w:rsidRPr="005453FD">
        <w:rPr>
          <w:rFonts w:cs="Times New Roman"/>
          <w:sz w:val="22"/>
        </w:rPr>
        <w:t xml:space="preserve">, </w:t>
      </w:r>
      <w:r w:rsidRPr="005453FD">
        <w:rPr>
          <w:rFonts w:cs="Times New Roman"/>
          <w:i/>
          <w:iCs/>
          <w:sz w:val="22"/>
        </w:rPr>
        <w:t>317</w:t>
      </w:r>
      <w:r w:rsidRPr="005453FD">
        <w:rPr>
          <w:rFonts w:cs="Times New Roman"/>
          <w:sz w:val="22"/>
        </w:rPr>
        <w:t>, 109603. https://doi.org/10.1016/j.agwat.2025.109603</w:t>
      </w:r>
    </w:p>
    <w:p w14:paraId="6D82B6D2" w14:textId="77777777" w:rsidR="005453FD" w:rsidRPr="005453FD" w:rsidRDefault="005453FD" w:rsidP="005453FD">
      <w:pPr>
        <w:pStyle w:val="Bibliografa"/>
        <w:rPr>
          <w:rFonts w:cs="Times New Roman"/>
          <w:sz w:val="22"/>
        </w:rPr>
      </w:pPr>
      <w:r w:rsidRPr="005453FD">
        <w:rPr>
          <w:rFonts w:cs="Times New Roman"/>
          <w:sz w:val="22"/>
        </w:rPr>
        <w:t xml:space="preserve">Harhash, M. M., Ahamed, M. M. M., &amp; Mosa, W. F. A. (2022). Mango performance as affected by the soil application of zeolite and biochar under water salinity stresses. </w:t>
      </w:r>
      <w:r w:rsidRPr="005453FD">
        <w:rPr>
          <w:rFonts w:cs="Times New Roman"/>
          <w:i/>
          <w:iCs/>
          <w:sz w:val="22"/>
        </w:rPr>
        <w:t>Environmental Science and Pollution Research</w:t>
      </w:r>
      <w:r w:rsidRPr="005453FD">
        <w:rPr>
          <w:rFonts w:cs="Times New Roman"/>
          <w:sz w:val="22"/>
        </w:rPr>
        <w:t xml:space="preserve">, </w:t>
      </w:r>
      <w:r w:rsidRPr="005453FD">
        <w:rPr>
          <w:rFonts w:cs="Times New Roman"/>
          <w:i/>
          <w:iCs/>
          <w:sz w:val="22"/>
        </w:rPr>
        <w:t>29</w:t>
      </w:r>
      <w:r w:rsidRPr="005453FD">
        <w:rPr>
          <w:rFonts w:cs="Times New Roman"/>
          <w:sz w:val="22"/>
        </w:rPr>
        <w:t>(58), 87144-87156. https://doi.org/10.1007/s11356-022-21503-4</w:t>
      </w:r>
    </w:p>
    <w:p w14:paraId="4AAC7F57" w14:textId="77777777" w:rsidR="005453FD" w:rsidRPr="005453FD" w:rsidRDefault="005453FD" w:rsidP="005453FD">
      <w:pPr>
        <w:pStyle w:val="Bibliografa"/>
        <w:rPr>
          <w:rFonts w:cs="Times New Roman"/>
          <w:sz w:val="22"/>
        </w:rPr>
      </w:pPr>
      <w:r w:rsidRPr="005453FD">
        <w:rPr>
          <w:rFonts w:cs="Times New Roman"/>
          <w:sz w:val="22"/>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sidRPr="005453FD">
        <w:rPr>
          <w:rFonts w:cs="Times New Roman"/>
          <w:i/>
          <w:iCs/>
          <w:sz w:val="22"/>
        </w:rPr>
        <w:t>Nature</w:t>
      </w:r>
      <w:r w:rsidRPr="005453FD">
        <w:rPr>
          <w:rFonts w:cs="Times New Roman"/>
          <w:sz w:val="22"/>
        </w:rPr>
        <w:t xml:space="preserve">, </w:t>
      </w:r>
      <w:r w:rsidRPr="005453FD">
        <w:rPr>
          <w:rFonts w:cs="Times New Roman"/>
          <w:i/>
          <w:iCs/>
          <w:sz w:val="22"/>
        </w:rPr>
        <w:t>585</w:t>
      </w:r>
      <w:r w:rsidRPr="005453FD">
        <w:rPr>
          <w:rFonts w:cs="Times New Roman"/>
          <w:sz w:val="22"/>
        </w:rPr>
        <w:t>(7825), 357-362. https://doi.org/10.1038/s41586-020-2649-2</w:t>
      </w:r>
    </w:p>
    <w:p w14:paraId="569DF98E" w14:textId="77777777" w:rsidR="005453FD" w:rsidRPr="005453FD" w:rsidRDefault="005453FD" w:rsidP="005453FD">
      <w:pPr>
        <w:pStyle w:val="Bibliografa"/>
        <w:rPr>
          <w:rFonts w:cs="Times New Roman"/>
          <w:sz w:val="22"/>
        </w:rPr>
      </w:pPr>
      <w:r w:rsidRPr="005453FD">
        <w:rPr>
          <w:rFonts w:cs="Times New Roman"/>
          <w:sz w:val="22"/>
        </w:rPr>
        <w:t xml:space="preserve">Hassani, A., Azapagic, A., &amp; Shokri, N. (2020). Predicting long-term dynamics of soil salinity and sodicity on a global scale. </w:t>
      </w:r>
      <w:r w:rsidRPr="005453FD">
        <w:rPr>
          <w:rFonts w:cs="Times New Roman"/>
          <w:i/>
          <w:iCs/>
          <w:sz w:val="22"/>
        </w:rPr>
        <w:t>Proceedings of the National Academy of Sciences</w:t>
      </w:r>
      <w:r w:rsidRPr="005453FD">
        <w:rPr>
          <w:rFonts w:cs="Times New Roman"/>
          <w:sz w:val="22"/>
        </w:rPr>
        <w:t xml:space="preserve">, </w:t>
      </w:r>
      <w:r w:rsidRPr="005453FD">
        <w:rPr>
          <w:rFonts w:cs="Times New Roman"/>
          <w:i/>
          <w:iCs/>
          <w:sz w:val="22"/>
        </w:rPr>
        <w:t>117</w:t>
      </w:r>
      <w:r w:rsidRPr="005453FD">
        <w:rPr>
          <w:rFonts w:cs="Times New Roman"/>
          <w:sz w:val="22"/>
        </w:rPr>
        <w:t>(52), 33017-33027. https://doi.org/10.1073/pnas.2013771117</w:t>
      </w:r>
    </w:p>
    <w:p w14:paraId="057BAB55" w14:textId="77777777" w:rsidR="005453FD" w:rsidRPr="005453FD" w:rsidRDefault="005453FD" w:rsidP="005453FD">
      <w:pPr>
        <w:pStyle w:val="Bibliografa"/>
        <w:rPr>
          <w:rFonts w:cs="Times New Roman"/>
          <w:sz w:val="22"/>
        </w:rPr>
      </w:pPr>
      <w:r w:rsidRPr="005453FD">
        <w:rPr>
          <w:rFonts w:cs="Times New Roman"/>
          <w:sz w:val="22"/>
        </w:rPr>
        <w:t xml:space="preserve">Hassani, A., Azapagic, A., &amp; Shokri, N. (2021). Global predictions of primary soil salinization under changing climate in the 21st century. </w:t>
      </w:r>
      <w:r w:rsidRPr="005453FD">
        <w:rPr>
          <w:rFonts w:cs="Times New Roman"/>
          <w:i/>
          <w:iCs/>
          <w:sz w:val="22"/>
        </w:rPr>
        <w:t>Nature Communications</w:t>
      </w:r>
      <w:r w:rsidRPr="005453FD">
        <w:rPr>
          <w:rFonts w:cs="Times New Roman"/>
          <w:sz w:val="22"/>
        </w:rPr>
        <w:t xml:space="preserve">, </w:t>
      </w:r>
      <w:r w:rsidRPr="005453FD">
        <w:rPr>
          <w:rFonts w:cs="Times New Roman"/>
          <w:i/>
          <w:iCs/>
          <w:sz w:val="22"/>
        </w:rPr>
        <w:t>12</w:t>
      </w:r>
      <w:r w:rsidRPr="005453FD">
        <w:rPr>
          <w:rFonts w:cs="Times New Roman"/>
          <w:sz w:val="22"/>
        </w:rPr>
        <w:t>(1), 6663. https://doi.org/10.1038/s41467-021-26907-3</w:t>
      </w:r>
    </w:p>
    <w:p w14:paraId="7468A12F" w14:textId="77777777" w:rsidR="005453FD" w:rsidRPr="005453FD" w:rsidRDefault="005453FD" w:rsidP="005453FD">
      <w:pPr>
        <w:pStyle w:val="Bibliografa"/>
        <w:rPr>
          <w:rFonts w:cs="Times New Roman"/>
          <w:sz w:val="22"/>
        </w:rPr>
      </w:pPr>
      <w:r w:rsidRPr="005453FD">
        <w:rPr>
          <w:rFonts w:cs="Times New Roman"/>
          <w:sz w:val="22"/>
        </w:rPr>
        <w:t xml:space="preserve">Havlin, J. L., Tisdale, S. L., Nelson, W. L., &amp; Beaton, J. D. (2016). </w:t>
      </w:r>
      <w:r w:rsidRPr="005453FD">
        <w:rPr>
          <w:rFonts w:cs="Times New Roman"/>
          <w:i/>
          <w:iCs/>
          <w:sz w:val="22"/>
        </w:rPr>
        <w:t>Soil Fertility and Fertilizers: An introduction to nutrient management.</w:t>
      </w:r>
      <w:r w:rsidRPr="005453FD">
        <w:rPr>
          <w:rFonts w:cs="Times New Roman"/>
          <w:sz w:val="22"/>
        </w:rPr>
        <w:t xml:space="preserve"> https://bibliotecadigital.ciren.cl/items/154b5b7e-ad37-4b0a-a090-f194393cced1/full</w:t>
      </w:r>
    </w:p>
    <w:p w14:paraId="6CFC88F3"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Hengl, T., Heuvelink, G. B. M., &amp; Rossiter, D. G. (2007). About regression-kriging: From equations to case studies. </w:t>
      </w:r>
      <w:r w:rsidRPr="005453FD">
        <w:rPr>
          <w:rFonts w:cs="Times New Roman"/>
          <w:i/>
          <w:iCs/>
          <w:sz w:val="22"/>
        </w:rPr>
        <w:t>Computers &amp; Geosciences, Spatial Analysis</w:t>
      </w:r>
      <w:r w:rsidRPr="005453FD">
        <w:rPr>
          <w:rFonts w:cs="Times New Roman"/>
          <w:sz w:val="22"/>
        </w:rPr>
        <w:t xml:space="preserve">, </w:t>
      </w:r>
      <w:r w:rsidRPr="005453FD">
        <w:rPr>
          <w:rFonts w:cs="Times New Roman"/>
          <w:i/>
          <w:iCs/>
          <w:sz w:val="22"/>
        </w:rPr>
        <w:t>33</w:t>
      </w:r>
      <w:r w:rsidRPr="005453FD">
        <w:rPr>
          <w:rFonts w:cs="Times New Roman"/>
          <w:sz w:val="22"/>
        </w:rPr>
        <w:t>(10), 1301-1315. https://doi.org/10.1016/j.cageo.2007.05.001</w:t>
      </w:r>
    </w:p>
    <w:p w14:paraId="2F1EBC4D" w14:textId="77777777" w:rsidR="005453FD" w:rsidRPr="005453FD" w:rsidRDefault="005453FD" w:rsidP="005453FD">
      <w:pPr>
        <w:pStyle w:val="Bibliografa"/>
        <w:rPr>
          <w:rFonts w:cs="Times New Roman"/>
          <w:sz w:val="22"/>
        </w:rPr>
      </w:pPr>
      <w:r w:rsidRPr="005453FD">
        <w:rPr>
          <w:rFonts w:cs="Times New Roman"/>
          <w:sz w:val="22"/>
        </w:rPr>
        <w:t xml:space="preserve">Hocking, B., Tyerman, S. D., Burton, R. A., &amp; Gilliham, M. (2016). Fruit Calcium: Transport and Physiology. </w:t>
      </w:r>
      <w:r w:rsidRPr="005453FD">
        <w:rPr>
          <w:rFonts w:cs="Times New Roman"/>
          <w:i/>
          <w:iCs/>
          <w:sz w:val="22"/>
        </w:rPr>
        <w:t>Frontiers in Plant Science</w:t>
      </w:r>
      <w:r w:rsidRPr="005453FD">
        <w:rPr>
          <w:rFonts w:cs="Times New Roman"/>
          <w:sz w:val="22"/>
        </w:rPr>
        <w:t xml:space="preserve">, </w:t>
      </w:r>
      <w:r w:rsidRPr="005453FD">
        <w:rPr>
          <w:rFonts w:cs="Times New Roman"/>
          <w:i/>
          <w:iCs/>
          <w:sz w:val="22"/>
        </w:rPr>
        <w:t>7</w:t>
      </w:r>
      <w:r w:rsidRPr="005453FD">
        <w:rPr>
          <w:rFonts w:cs="Times New Roman"/>
          <w:sz w:val="22"/>
        </w:rPr>
        <w:t>. https://doi.org/10.3389/fpls.2016.00569</w:t>
      </w:r>
    </w:p>
    <w:p w14:paraId="492AB0B6" w14:textId="77777777" w:rsidR="005453FD" w:rsidRPr="005453FD" w:rsidRDefault="005453FD" w:rsidP="005453FD">
      <w:pPr>
        <w:pStyle w:val="Bibliografa"/>
        <w:rPr>
          <w:rFonts w:cs="Times New Roman"/>
          <w:sz w:val="22"/>
        </w:rPr>
      </w:pPr>
      <w:r w:rsidRPr="005453FD">
        <w:rPr>
          <w:rFonts w:cs="Times New Roman"/>
          <w:sz w:val="22"/>
        </w:rPr>
        <w:t xml:space="preserve">Instituto Nacional de Estadística e Informática (INEI). (2024). </w:t>
      </w:r>
      <w:r w:rsidRPr="005453FD">
        <w:rPr>
          <w:rFonts w:cs="Times New Roman"/>
          <w:i/>
          <w:iCs/>
          <w:sz w:val="22"/>
        </w:rPr>
        <w:t>Producto bruto interno regional y empleo por actividades económicas</w:t>
      </w:r>
      <w:r w:rsidRPr="005453FD">
        <w:rPr>
          <w:rFonts w:cs="Times New Roman"/>
          <w:sz w:val="22"/>
        </w:rPr>
        <w:t>. https://m.inei.gob.pe/estadisticas/indice-tematico/economia/</w:t>
      </w:r>
    </w:p>
    <w:p w14:paraId="05CA0EB0" w14:textId="77777777" w:rsidR="005453FD" w:rsidRPr="005453FD" w:rsidRDefault="005453FD" w:rsidP="005453FD">
      <w:pPr>
        <w:pStyle w:val="Bibliografa"/>
        <w:rPr>
          <w:rFonts w:cs="Times New Roman"/>
          <w:sz w:val="22"/>
        </w:rPr>
      </w:pPr>
      <w:r w:rsidRPr="005453FD">
        <w:rPr>
          <w:rFonts w:cs="Times New Roman"/>
          <w:sz w:val="22"/>
        </w:rPr>
        <w:t xml:space="preserve">International Organization for Standardization. (2006). </w:t>
      </w:r>
      <w:r w:rsidRPr="005453FD">
        <w:rPr>
          <w:rFonts w:cs="Times New Roman"/>
          <w:i/>
          <w:iCs/>
          <w:sz w:val="22"/>
        </w:rPr>
        <w:t>Soil quality—Pretreatment of samples for physico-chemical analysis</w:t>
      </w:r>
      <w:r w:rsidRPr="005453FD">
        <w:rPr>
          <w:rFonts w:cs="Times New Roman"/>
          <w:sz w:val="22"/>
        </w:rPr>
        <w:t>. International Organization for Standardization. https://www.iso.org/standard/37718.html</w:t>
      </w:r>
    </w:p>
    <w:p w14:paraId="33A21DE0" w14:textId="77777777" w:rsidR="005453FD" w:rsidRPr="005453FD" w:rsidRDefault="005453FD" w:rsidP="005453FD">
      <w:pPr>
        <w:pStyle w:val="Bibliografa"/>
        <w:rPr>
          <w:rFonts w:cs="Times New Roman"/>
          <w:sz w:val="22"/>
        </w:rPr>
      </w:pPr>
      <w:r w:rsidRPr="005453FD">
        <w:rPr>
          <w:rFonts w:cs="Times New Roman"/>
          <w:sz w:val="22"/>
        </w:rPr>
        <w:t xml:space="preserve">Ivushkin, K., Bartholomeus, H., Bregt, A. K., Pulatov, A., Kempen, B., &amp; de Sousa, L. (2019). Global mapping of soil salinity change. </w:t>
      </w:r>
      <w:r w:rsidRPr="005453FD">
        <w:rPr>
          <w:rFonts w:cs="Times New Roman"/>
          <w:i/>
          <w:iCs/>
          <w:sz w:val="22"/>
        </w:rPr>
        <w:t>Remote Sensing of Environment</w:t>
      </w:r>
      <w:r w:rsidRPr="005453FD">
        <w:rPr>
          <w:rFonts w:cs="Times New Roman"/>
          <w:sz w:val="22"/>
        </w:rPr>
        <w:t xml:space="preserve">, </w:t>
      </w:r>
      <w:r w:rsidRPr="005453FD">
        <w:rPr>
          <w:rFonts w:cs="Times New Roman"/>
          <w:i/>
          <w:iCs/>
          <w:sz w:val="22"/>
        </w:rPr>
        <w:t>231</w:t>
      </w:r>
      <w:r w:rsidRPr="005453FD">
        <w:rPr>
          <w:rFonts w:cs="Times New Roman"/>
          <w:sz w:val="22"/>
        </w:rPr>
        <w:t>, 111260. https://doi.org/10.1016/j.rse.2019.111260</w:t>
      </w:r>
    </w:p>
    <w:p w14:paraId="6D60ED18" w14:textId="77777777" w:rsidR="005453FD" w:rsidRPr="005453FD" w:rsidRDefault="005453FD" w:rsidP="005453FD">
      <w:pPr>
        <w:pStyle w:val="Bibliografa"/>
        <w:rPr>
          <w:rFonts w:cs="Times New Roman"/>
          <w:sz w:val="22"/>
        </w:rPr>
      </w:pPr>
      <w:r w:rsidRPr="005453FD">
        <w:rPr>
          <w:rFonts w:cs="Times New Roman"/>
          <w:sz w:val="22"/>
        </w:rPr>
        <w:t xml:space="preserve">Jordahl, K., Bossche, J. V. den, Fleischmann, M., Wasserman, J., McBride, J., Gerard, J., Tratner, J., Perry, M., Badaracco, A. G., Farmer, C., Hjelle, G. A., Snow, A. D., Cochran, M., Gillies, S., Culbertson, L., Bartos, M., Eubank, N., maxalbert, Bilogur, A., … Leblanc, F. (2020). </w:t>
      </w:r>
      <w:r w:rsidRPr="005453FD">
        <w:rPr>
          <w:rFonts w:cs="Times New Roman"/>
          <w:i/>
          <w:iCs/>
          <w:sz w:val="22"/>
        </w:rPr>
        <w:t>geopandas/geopandas: V0.8.1</w:t>
      </w:r>
      <w:r w:rsidRPr="005453FD">
        <w:rPr>
          <w:rFonts w:cs="Times New Roman"/>
          <w:sz w:val="22"/>
        </w:rPr>
        <w:t xml:space="preserve"> [Software]. Zenodo. https://doi.org/10.5281/zenodo.3946761</w:t>
      </w:r>
    </w:p>
    <w:p w14:paraId="3A749FF0" w14:textId="77777777" w:rsidR="005453FD" w:rsidRPr="005453FD" w:rsidRDefault="005453FD" w:rsidP="005453FD">
      <w:pPr>
        <w:pStyle w:val="Bibliografa"/>
        <w:rPr>
          <w:rFonts w:cs="Times New Roman"/>
          <w:sz w:val="22"/>
        </w:rPr>
      </w:pPr>
      <w:r w:rsidRPr="005453FD">
        <w:rPr>
          <w:rFonts w:cs="Times New Roman"/>
          <w:sz w:val="22"/>
        </w:rPr>
        <w:t xml:space="preserve">Kargas, G., Londra, P., &amp; Sotirakoglou, K. (2022). The Effect of Soil Texture on the Conversion Factor of 1:5 Soil/Water Extract Electrical Conductivity (EC1:5) to Soil Saturated Paste Extract Electrical Conductivity (ECe). </w:t>
      </w:r>
      <w:r w:rsidRPr="005453FD">
        <w:rPr>
          <w:rFonts w:cs="Times New Roman"/>
          <w:i/>
          <w:iCs/>
          <w:sz w:val="22"/>
        </w:rPr>
        <w:t>Water</w:t>
      </w:r>
      <w:r w:rsidRPr="005453FD">
        <w:rPr>
          <w:rFonts w:cs="Times New Roman"/>
          <w:sz w:val="22"/>
        </w:rPr>
        <w:t xml:space="preserve">, </w:t>
      </w:r>
      <w:r w:rsidRPr="005453FD">
        <w:rPr>
          <w:rFonts w:cs="Times New Roman"/>
          <w:i/>
          <w:iCs/>
          <w:sz w:val="22"/>
        </w:rPr>
        <w:t>14</w:t>
      </w:r>
      <w:r w:rsidRPr="005453FD">
        <w:rPr>
          <w:rFonts w:cs="Times New Roman"/>
          <w:sz w:val="22"/>
        </w:rPr>
        <w:t>(4), 642. https://doi.org/10.3390/w14040642</w:t>
      </w:r>
    </w:p>
    <w:p w14:paraId="27289B85" w14:textId="77777777" w:rsidR="005453FD" w:rsidRPr="005453FD" w:rsidRDefault="005453FD" w:rsidP="005453FD">
      <w:pPr>
        <w:pStyle w:val="Bibliografa"/>
        <w:rPr>
          <w:rFonts w:cs="Times New Roman"/>
          <w:sz w:val="22"/>
        </w:rPr>
      </w:pPr>
      <w:r w:rsidRPr="005453FD">
        <w:rPr>
          <w:rFonts w:cs="Times New Roman"/>
          <w:sz w:val="22"/>
        </w:rPr>
        <w:t xml:space="preserve">Lawrence, P. G., Roper, W., Morris, T. F., &amp; Guillard, K. (2020). Guiding soil sampling strategies using classical and spatial statistics: A review. </w:t>
      </w:r>
      <w:r w:rsidRPr="005453FD">
        <w:rPr>
          <w:rFonts w:cs="Times New Roman"/>
          <w:i/>
          <w:iCs/>
          <w:sz w:val="22"/>
        </w:rPr>
        <w:t>Agronomy Journal</w:t>
      </w:r>
      <w:r w:rsidRPr="005453FD">
        <w:rPr>
          <w:rFonts w:cs="Times New Roman"/>
          <w:sz w:val="22"/>
        </w:rPr>
        <w:t xml:space="preserve">, </w:t>
      </w:r>
      <w:r w:rsidRPr="005453FD">
        <w:rPr>
          <w:rFonts w:cs="Times New Roman"/>
          <w:i/>
          <w:iCs/>
          <w:sz w:val="22"/>
        </w:rPr>
        <w:t>112</w:t>
      </w:r>
      <w:r w:rsidRPr="005453FD">
        <w:rPr>
          <w:rFonts w:cs="Times New Roman"/>
          <w:sz w:val="22"/>
        </w:rPr>
        <w:t>(1), 493-510. https://doi.org/10.1002/agj2.20048</w:t>
      </w:r>
    </w:p>
    <w:p w14:paraId="5BE31548" w14:textId="77777777" w:rsidR="005453FD" w:rsidRPr="005453FD" w:rsidRDefault="005453FD" w:rsidP="005453FD">
      <w:pPr>
        <w:pStyle w:val="Bibliografa"/>
        <w:rPr>
          <w:rFonts w:cs="Times New Roman"/>
          <w:sz w:val="22"/>
        </w:rPr>
      </w:pPr>
      <w:r w:rsidRPr="005453FD">
        <w:rPr>
          <w:rFonts w:cs="Times New Roman"/>
          <w:sz w:val="22"/>
        </w:rPr>
        <w:t xml:space="preserve">Liu, B., Xin, Q., Zhang, M., Chen, J., Lu, Q., Zhou, X., Li, X., Zhang, W., Feng, W., Pei, H., &amp; Sun, J. (2023). Research Progress on Mango Post-Harvest Ripening Physiology and the Regulatory Technologies. </w:t>
      </w:r>
      <w:r w:rsidRPr="005453FD">
        <w:rPr>
          <w:rFonts w:cs="Times New Roman"/>
          <w:i/>
          <w:iCs/>
          <w:sz w:val="22"/>
        </w:rPr>
        <w:t>Foods</w:t>
      </w:r>
      <w:r w:rsidRPr="005453FD">
        <w:rPr>
          <w:rFonts w:cs="Times New Roman"/>
          <w:sz w:val="22"/>
        </w:rPr>
        <w:t xml:space="preserve">, </w:t>
      </w:r>
      <w:r w:rsidRPr="005453FD">
        <w:rPr>
          <w:rFonts w:cs="Times New Roman"/>
          <w:i/>
          <w:iCs/>
          <w:sz w:val="22"/>
        </w:rPr>
        <w:t>12</w:t>
      </w:r>
      <w:r w:rsidRPr="005453FD">
        <w:rPr>
          <w:rFonts w:cs="Times New Roman"/>
          <w:sz w:val="22"/>
        </w:rPr>
        <w:t>(1), 173. https://doi.org/10.3390/foods12010173</w:t>
      </w:r>
    </w:p>
    <w:p w14:paraId="31B44E70"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Mahmoudabadi, E., Karimi, A., Haghnia, G. H., &amp; Sepehr, A. (2017). Digital soil mapping using remote sensing indices, terrain attributes, and vegetation features in the rangelands of northeastern Iran. </w:t>
      </w:r>
      <w:r w:rsidRPr="005453FD">
        <w:rPr>
          <w:rFonts w:cs="Times New Roman"/>
          <w:i/>
          <w:iCs/>
          <w:sz w:val="22"/>
        </w:rPr>
        <w:t>Environmental Monitoring and Assessment</w:t>
      </w:r>
      <w:r w:rsidRPr="005453FD">
        <w:rPr>
          <w:rFonts w:cs="Times New Roman"/>
          <w:sz w:val="22"/>
        </w:rPr>
        <w:t xml:space="preserve">, </w:t>
      </w:r>
      <w:r w:rsidRPr="005453FD">
        <w:rPr>
          <w:rFonts w:cs="Times New Roman"/>
          <w:i/>
          <w:iCs/>
          <w:sz w:val="22"/>
        </w:rPr>
        <w:t>189</w:t>
      </w:r>
      <w:r w:rsidRPr="005453FD">
        <w:rPr>
          <w:rFonts w:cs="Times New Roman"/>
          <w:sz w:val="22"/>
        </w:rPr>
        <w:t>(10), 500. https://doi.org/10.1007/s10661-017-6197-7</w:t>
      </w:r>
    </w:p>
    <w:p w14:paraId="6D31EC03" w14:textId="77777777" w:rsidR="005453FD" w:rsidRPr="005453FD" w:rsidRDefault="005453FD" w:rsidP="005453FD">
      <w:pPr>
        <w:pStyle w:val="Bibliografa"/>
        <w:rPr>
          <w:rFonts w:cs="Times New Roman"/>
          <w:sz w:val="22"/>
        </w:rPr>
      </w:pPr>
      <w:r w:rsidRPr="005453FD">
        <w:rPr>
          <w:rFonts w:cs="Times New Roman"/>
          <w:sz w:val="22"/>
        </w:rPr>
        <w:t xml:space="preserve">Manrique, L. A., &amp; Jones, C. A. (1991). Bulk Density of Soils in Relation to Soil Physical and Chemical Properties. </w:t>
      </w:r>
      <w:r w:rsidRPr="005453FD">
        <w:rPr>
          <w:rFonts w:cs="Times New Roman"/>
          <w:i/>
          <w:iCs/>
          <w:sz w:val="22"/>
        </w:rPr>
        <w:t>Soil Science Society of America Journal</w:t>
      </w:r>
      <w:r w:rsidRPr="005453FD">
        <w:rPr>
          <w:rFonts w:cs="Times New Roman"/>
          <w:sz w:val="22"/>
        </w:rPr>
        <w:t xml:space="preserve">, </w:t>
      </w:r>
      <w:r w:rsidRPr="005453FD">
        <w:rPr>
          <w:rFonts w:cs="Times New Roman"/>
          <w:i/>
          <w:iCs/>
          <w:sz w:val="22"/>
        </w:rPr>
        <w:t>55</w:t>
      </w:r>
      <w:r w:rsidRPr="005453FD">
        <w:rPr>
          <w:rFonts w:cs="Times New Roman"/>
          <w:sz w:val="22"/>
        </w:rPr>
        <w:t>(2), 476-481. https://doi.org/10.2136/sssaj1991.03615995005500020030x</w:t>
      </w:r>
    </w:p>
    <w:p w14:paraId="2F381A50" w14:textId="77777777" w:rsidR="005453FD" w:rsidRPr="005453FD" w:rsidRDefault="005453FD" w:rsidP="005453FD">
      <w:pPr>
        <w:pStyle w:val="Bibliografa"/>
        <w:rPr>
          <w:rFonts w:cs="Times New Roman"/>
          <w:sz w:val="22"/>
        </w:rPr>
      </w:pPr>
      <w:r w:rsidRPr="005453FD">
        <w:rPr>
          <w:rFonts w:cs="Times New Roman"/>
          <w:sz w:val="22"/>
        </w:rPr>
        <w:t xml:space="preserve">Mao, D., Wang, Z., Wu, B., Zeng, Y., Luo, L., &amp; Zhang, B. (2018). Land degradation and restoration in the arid and semiarid zones of China: Quantified evidence and implications from satellites. </w:t>
      </w:r>
      <w:r w:rsidRPr="005453FD">
        <w:rPr>
          <w:rFonts w:cs="Times New Roman"/>
          <w:i/>
          <w:iCs/>
          <w:sz w:val="22"/>
        </w:rPr>
        <w:t>Land Degradation &amp; Development</w:t>
      </w:r>
      <w:r w:rsidRPr="005453FD">
        <w:rPr>
          <w:rFonts w:cs="Times New Roman"/>
          <w:sz w:val="22"/>
        </w:rPr>
        <w:t xml:space="preserve">, </w:t>
      </w:r>
      <w:r w:rsidRPr="005453FD">
        <w:rPr>
          <w:rFonts w:cs="Times New Roman"/>
          <w:i/>
          <w:iCs/>
          <w:sz w:val="22"/>
        </w:rPr>
        <w:t>29</w:t>
      </w:r>
      <w:r w:rsidRPr="005453FD">
        <w:rPr>
          <w:rFonts w:cs="Times New Roman"/>
          <w:sz w:val="22"/>
        </w:rPr>
        <w:t>(11), 3841-3851. https://doi.org/10.1002/ldr.3135</w:t>
      </w:r>
    </w:p>
    <w:p w14:paraId="16564635" w14:textId="77777777" w:rsidR="005453FD" w:rsidRPr="005453FD" w:rsidRDefault="005453FD" w:rsidP="005453FD">
      <w:pPr>
        <w:pStyle w:val="Bibliografa"/>
        <w:rPr>
          <w:rFonts w:cs="Times New Roman"/>
          <w:sz w:val="22"/>
        </w:rPr>
      </w:pPr>
      <w:r w:rsidRPr="005453FD">
        <w:rPr>
          <w:rFonts w:cs="Times New Roman"/>
          <w:sz w:val="22"/>
        </w:rPr>
        <w:t xml:space="preserve">Matazi, A. K., Gognet, E. E., &amp; Kakaï, R. G. (2024). Digital soil mapping: A predictive performance assessment of spatial linear regression, Bayesian and ML-based models. </w:t>
      </w:r>
      <w:r w:rsidRPr="005453FD">
        <w:rPr>
          <w:rFonts w:cs="Times New Roman"/>
          <w:i/>
          <w:iCs/>
          <w:sz w:val="22"/>
        </w:rPr>
        <w:t>Modeling Earth Systems and Environment</w:t>
      </w:r>
      <w:r w:rsidRPr="005453FD">
        <w:rPr>
          <w:rFonts w:cs="Times New Roman"/>
          <w:sz w:val="22"/>
        </w:rPr>
        <w:t xml:space="preserve">, </w:t>
      </w:r>
      <w:r w:rsidRPr="005453FD">
        <w:rPr>
          <w:rFonts w:cs="Times New Roman"/>
          <w:i/>
          <w:iCs/>
          <w:sz w:val="22"/>
        </w:rPr>
        <w:t>10</w:t>
      </w:r>
      <w:r w:rsidRPr="005453FD">
        <w:rPr>
          <w:rFonts w:cs="Times New Roman"/>
          <w:sz w:val="22"/>
        </w:rPr>
        <w:t>(1), 595-618. https://doi.org/10.1007/s40808-023-01788-1</w:t>
      </w:r>
    </w:p>
    <w:p w14:paraId="06D01C40" w14:textId="77777777" w:rsidR="005453FD" w:rsidRPr="005453FD" w:rsidRDefault="005453FD" w:rsidP="005453FD">
      <w:pPr>
        <w:pStyle w:val="Bibliografa"/>
        <w:rPr>
          <w:rFonts w:cs="Times New Roman"/>
          <w:sz w:val="22"/>
        </w:rPr>
      </w:pPr>
      <w:r w:rsidRPr="005453FD">
        <w:rPr>
          <w:rFonts w:cs="Times New Roman"/>
          <w:sz w:val="22"/>
        </w:rPr>
        <w:t xml:space="preserve">McKinney, W. (2010). Data Structures for Statistical Computing in Python. </w:t>
      </w:r>
      <w:r w:rsidRPr="005453FD">
        <w:rPr>
          <w:rFonts w:cs="Times New Roman"/>
          <w:i/>
          <w:iCs/>
          <w:sz w:val="22"/>
        </w:rPr>
        <w:t>SciPy 2010</w:t>
      </w:r>
      <w:r w:rsidRPr="005453FD">
        <w:rPr>
          <w:rFonts w:cs="Times New Roman"/>
          <w:sz w:val="22"/>
        </w:rPr>
        <w:t>. https://doi.org/10.25080/Majora-92bf1922-00a</w:t>
      </w:r>
    </w:p>
    <w:p w14:paraId="78D8712E" w14:textId="77777777" w:rsidR="005453FD" w:rsidRPr="005453FD" w:rsidRDefault="005453FD" w:rsidP="005453FD">
      <w:pPr>
        <w:pStyle w:val="Bibliografa"/>
        <w:rPr>
          <w:rFonts w:cs="Times New Roman"/>
          <w:sz w:val="22"/>
        </w:rPr>
      </w:pPr>
      <w:r w:rsidRPr="005453FD">
        <w:rPr>
          <w:rFonts w:cs="Times New Roman"/>
          <w:sz w:val="22"/>
        </w:rPr>
        <w:t xml:space="preserve">Mehnatkesh, A., Ayoubi, S., Jalalian, A., &amp; Sahrawat, K. L. (2013). Relationships between soil depth and terrain attributes in a semi arid hilly region in western Iran. </w:t>
      </w:r>
      <w:r w:rsidRPr="005453FD">
        <w:rPr>
          <w:rFonts w:cs="Times New Roman"/>
          <w:i/>
          <w:iCs/>
          <w:sz w:val="22"/>
        </w:rPr>
        <w:t>Journal of Mountain Science</w:t>
      </w:r>
      <w:r w:rsidRPr="005453FD">
        <w:rPr>
          <w:rFonts w:cs="Times New Roman"/>
          <w:sz w:val="22"/>
        </w:rPr>
        <w:t xml:space="preserve">, </w:t>
      </w:r>
      <w:r w:rsidRPr="005453FD">
        <w:rPr>
          <w:rFonts w:cs="Times New Roman"/>
          <w:i/>
          <w:iCs/>
          <w:sz w:val="22"/>
        </w:rPr>
        <w:t>10</w:t>
      </w:r>
      <w:r w:rsidRPr="005453FD">
        <w:rPr>
          <w:rFonts w:cs="Times New Roman"/>
          <w:sz w:val="22"/>
        </w:rPr>
        <w:t>(1), 163-172. https://doi.org/10.1007/s11629-013-2427-9</w:t>
      </w:r>
    </w:p>
    <w:p w14:paraId="227AD8D0" w14:textId="77777777" w:rsidR="005453FD" w:rsidRPr="005453FD" w:rsidRDefault="005453FD" w:rsidP="005453FD">
      <w:pPr>
        <w:pStyle w:val="Bibliografa"/>
        <w:rPr>
          <w:rFonts w:cs="Times New Roman"/>
          <w:sz w:val="22"/>
        </w:rPr>
      </w:pPr>
      <w:r w:rsidRPr="005453FD">
        <w:rPr>
          <w:rFonts w:cs="Times New Roman"/>
          <w:sz w:val="22"/>
        </w:rPr>
        <w:t xml:space="preserve">Mejía Maita, S., Quispe, K., Díaz-Chuquizuta, H., Rengifo Sanchéz, R., Mercado Chinchay, R., Cuevas Gimenez, J. P., &amp; Solórzano, R. (2025). Soil spatial variability in high-yield Peruvian Amazon coffee: A geostatistical approach for precision fertilization. </w:t>
      </w:r>
      <w:r w:rsidRPr="005453FD">
        <w:rPr>
          <w:rFonts w:cs="Times New Roman"/>
          <w:i/>
          <w:iCs/>
          <w:sz w:val="22"/>
        </w:rPr>
        <w:t>Frontiers in Soil Science</w:t>
      </w:r>
      <w:r w:rsidRPr="005453FD">
        <w:rPr>
          <w:rFonts w:cs="Times New Roman"/>
          <w:sz w:val="22"/>
        </w:rPr>
        <w:t xml:space="preserve">, </w:t>
      </w:r>
      <w:r w:rsidRPr="005453FD">
        <w:rPr>
          <w:rFonts w:cs="Times New Roman"/>
          <w:i/>
          <w:iCs/>
          <w:sz w:val="22"/>
        </w:rPr>
        <w:t>5</w:t>
      </w:r>
      <w:r w:rsidRPr="005453FD">
        <w:rPr>
          <w:rFonts w:cs="Times New Roman"/>
          <w:sz w:val="22"/>
        </w:rPr>
        <w:t>. https://doi.org/10.3389/fsoil.2025.1701602</w:t>
      </w:r>
    </w:p>
    <w:p w14:paraId="5DDC7B01" w14:textId="77777777" w:rsidR="005453FD" w:rsidRPr="005453FD" w:rsidRDefault="005453FD" w:rsidP="005453FD">
      <w:pPr>
        <w:pStyle w:val="Bibliografa"/>
        <w:rPr>
          <w:rFonts w:cs="Times New Roman"/>
          <w:sz w:val="22"/>
        </w:rPr>
      </w:pPr>
      <w:r w:rsidRPr="005453FD">
        <w:rPr>
          <w:rFonts w:cs="Times New Roman"/>
          <w:sz w:val="22"/>
        </w:rPr>
        <w:t xml:space="preserve">Ministerio de Desarrollo Agrario y Riego, M. (2025). </w:t>
      </w:r>
      <w:r w:rsidRPr="005453FD">
        <w:rPr>
          <w:rFonts w:cs="Times New Roman"/>
          <w:i/>
          <w:iCs/>
          <w:sz w:val="22"/>
        </w:rPr>
        <w:t>Sistema Integrado de Estadísticas Agrarias</w:t>
      </w:r>
      <w:r w:rsidRPr="005453FD">
        <w:rPr>
          <w:rFonts w:cs="Times New Roman"/>
          <w:sz w:val="22"/>
        </w:rPr>
        <w:t>. https://siea.midagri.gob.pe/portal/</w:t>
      </w:r>
    </w:p>
    <w:p w14:paraId="6E67AE3A"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Muñoz-Rojas, M. (2018). Soil quality indicators: Critical tools in ecosystem restoration. </w:t>
      </w:r>
      <w:r w:rsidRPr="005453FD">
        <w:rPr>
          <w:rFonts w:cs="Times New Roman"/>
          <w:i/>
          <w:iCs/>
          <w:sz w:val="22"/>
        </w:rPr>
        <w:t>Current Opinion in Environmental Science &amp; Health, Sustainable soil management and land restoration</w:t>
      </w:r>
      <w:r w:rsidRPr="005453FD">
        <w:rPr>
          <w:rFonts w:cs="Times New Roman"/>
          <w:sz w:val="22"/>
        </w:rPr>
        <w:t xml:space="preserve">, </w:t>
      </w:r>
      <w:r w:rsidRPr="005453FD">
        <w:rPr>
          <w:rFonts w:cs="Times New Roman"/>
          <w:i/>
          <w:iCs/>
          <w:sz w:val="22"/>
        </w:rPr>
        <w:t>5</w:t>
      </w:r>
      <w:r w:rsidRPr="005453FD">
        <w:rPr>
          <w:rFonts w:cs="Times New Roman"/>
          <w:sz w:val="22"/>
        </w:rPr>
        <w:t>, 47-52. https://doi.org/10.1016/j.coesh.2018.04.007</w:t>
      </w:r>
    </w:p>
    <w:p w14:paraId="1A93D13F" w14:textId="77777777" w:rsidR="005453FD" w:rsidRPr="005453FD" w:rsidRDefault="005453FD" w:rsidP="005453FD">
      <w:pPr>
        <w:pStyle w:val="Bibliografa"/>
        <w:rPr>
          <w:rFonts w:cs="Times New Roman"/>
          <w:sz w:val="22"/>
        </w:rPr>
      </w:pPr>
      <w:r w:rsidRPr="005453FD">
        <w:rPr>
          <w:rFonts w:cs="Times New Roman"/>
          <w:sz w:val="22"/>
        </w:rPr>
        <w:t xml:space="preserve">Murphy, B., Yurchak, R., &amp; Müller, S. (2025). </w:t>
      </w:r>
      <w:r w:rsidRPr="005453FD">
        <w:rPr>
          <w:rFonts w:cs="Times New Roman"/>
          <w:i/>
          <w:iCs/>
          <w:sz w:val="22"/>
        </w:rPr>
        <w:t>PyKrige: Kriging Toolkit for Python.</w:t>
      </w:r>
      <w:r w:rsidRPr="005453FD">
        <w:rPr>
          <w:rFonts w:cs="Times New Roman"/>
          <w:sz w:val="22"/>
        </w:rPr>
        <w:t xml:space="preserve"> (Versión 1.7.3) [Python; MacOS, Microsoft, Unix]. https://doi.org/https://doi.org/10.5281/zenodo.17372225</w:t>
      </w:r>
    </w:p>
    <w:p w14:paraId="33CF2033" w14:textId="77777777" w:rsidR="005453FD" w:rsidRPr="005453FD" w:rsidRDefault="005453FD" w:rsidP="005453FD">
      <w:pPr>
        <w:pStyle w:val="Bibliografa"/>
        <w:rPr>
          <w:rFonts w:cs="Times New Roman"/>
          <w:sz w:val="22"/>
        </w:rPr>
      </w:pPr>
      <w:r w:rsidRPr="005453FD">
        <w:rPr>
          <w:rFonts w:cs="Times New Roman"/>
          <w:sz w:val="22"/>
        </w:rPr>
        <w:t xml:space="preserve">Muthuramalingam, P., Muthamil, S., Shilpha, J., Venkatramanan, V., Priya, A., Kim, J., Shin, Y., Chen, J.-T., Baskar, V., Park, K., &amp; Shin, H. (2023). Molecular Insights into Abiotic Stresses in Mango. </w:t>
      </w:r>
      <w:r w:rsidRPr="005453FD">
        <w:rPr>
          <w:rFonts w:cs="Times New Roman"/>
          <w:i/>
          <w:iCs/>
          <w:sz w:val="22"/>
        </w:rPr>
        <w:t>Plants</w:t>
      </w:r>
      <w:r w:rsidRPr="005453FD">
        <w:rPr>
          <w:rFonts w:cs="Times New Roman"/>
          <w:sz w:val="22"/>
        </w:rPr>
        <w:t xml:space="preserve">, </w:t>
      </w:r>
      <w:r w:rsidRPr="005453FD">
        <w:rPr>
          <w:rFonts w:cs="Times New Roman"/>
          <w:i/>
          <w:iCs/>
          <w:sz w:val="22"/>
        </w:rPr>
        <w:t>12</w:t>
      </w:r>
      <w:r w:rsidRPr="005453FD">
        <w:rPr>
          <w:rFonts w:cs="Times New Roman"/>
          <w:sz w:val="22"/>
        </w:rPr>
        <w:t>(10), 1939. https://doi.org/10.3390/plants12101939</w:t>
      </w:r>
    </w:p>
    <w:p w14:paraId="2C1314DA" w14:textId="77777777" w:rsidR="005453FD" w:rsidRPr="005453FD" w:rsidRDefault="005453FD" w:rsidP="005453FD">
      <w:pPr>
        <w:pStyle w:val="Bibliografa"/>
        <w:rPr>
          <w:rFonts w:cs="Times New Roman"/>
          <w:sz w:val="22"/>
        </w:rPr>
      </w:pPr>
      <w:r w:rsidRPr="005453FD">
        <w:rPr>
          <w:rFonts w:cs="Times New Roman"/>
          <w:sz w:val="22"/>
        </w:rPr>
        <w:t xml:space="preserve">Naorem, A., Jayaraman, S., Dang, Y. P., Dalal, R. C., Sinha, N. K., Rao, C. S., &amp; Patra, A. K. (2023). Soil Constraints in an Arid Environment—Challenges, Prospects, and Implications. </w:t>
      </w:r>
      <w:r w:rsidRPr="005453FD">
        <w:rPr>
          <w:rFonts w:cs="Times New Roman"/>
          <w:i/>
          <w:iCs/>
          <w:sz w:val="22"/>
        </w:rPr>
        <w:t>Agronomy</w:t>
      </w:r>
      <w:r w:rsidRPr="005453FD">
        <w:rPr>
          <w:rFonts w:cs="Times New Roman"/>
          <w:sz w:val="22"/>
        </w:rPr>
        <w:t xml:space="preserve">, </w:t>
      </w:r>
      <w:r w:rsidRPr="005453FD">
        <w:rPr>
          <w:rFonts w:cs="Times New Roman"/>
          <w:i/>
          <w:iCs/>
          <w:sz w:val="22"/>
        </w:rPr>
        <w:t>13</w:t>
      </w:r>
      <w:r w:rsidRPr="005453FD">
        <w:rPr>
          <w:rFonts w:cs="Times New Roman"/>
          <w:sz w:val="22"/>
        </w:rPr>
        <w:t>(1), 220. https://doi.org/10.3390/agronomy13010220</w:t>
      </w:r>
    </w:p>
    <w:p w14:paraId="7313BE3E" w14:textId="77777777" w:rsidR="005453FD" w:rsidRPr="005453FD" w:rsidRDefault="005453FD" w:rsidP="005453FD">
      <w:pPr>
        <w:pStyle w:val="Bibliografa"/>
        <w:rPr>
          <w:rFonts w:cs="Times New Roman"/>
          <w:sz w:val="22"/>
        </w:rPr>
      </w:pPr>
      <w:r w:rsidRPr="005453FD">
        <w:rPr>
          <w:rFonts w:cs="Times New Roman"/>
          <w:sz w:val="22"/>
        </w:rPr>
        <w:t xml:space="preserve">Navamani, C. (2025). The Majesty of Mangoes: A Guide to Introduction of Mango Farm Cultivation. </w:t>
      </w:r>
      <w:r w:rsidRPr="005453FD">
        <w:rPr>
          <w:rFonts w:cs="Times New Roman"/>
          <w:i/>
          <w:iCs/>
          <w:sz w:val="22"/>
        </w:rPr>
        <w:t>International Journal of Innovative Science and Research Technology</w:t>
      </w:r>
      <w:r w:rsidRPr="005453FD">
        <w:rPr>
          <w:rFonts w:cs="Times New Roman"/>
          <w:sz w:val="22"/>
        </w:rPr>
        <w:t>, 4549-4552. https://doi.org/10.38124/ijisrt/25may2178</w:t>
      </w:r>
    </w:p>
    <w:p w14:paraId="57764290" w14:textId="77777777" w:rsidR="005453FD" w:rsidRPr="005453FD" w:rsidRDefault="005453FD" w:rsidP="005453FD">
      <w:pPr>
        <w:pStyle w:val="Bibliografa"/>
        <w:rPr>
          <w:rFonts w:cs="Times New Roman"/>
          <w:sz w:val="22"/>
        </w:rPr>
      </w:pPr>
      <w:r w:rsidRPr="005453FD">
        <w:rPr>
          <w:rFonts w:cs="Times New Roman"/>
          <w:sz w:val="22"/>
        </w:rPr>
        <w:t xml:space="preserve">Padarian, J., Minasny, B., &amp; McBratney, A. B. (2020). Machine learning and soil sciences: A review aided by machine learning tools. </w:t>
      </w:r>
      <w:r w:rsidRPr="005453FD">
        <w:rPr>
          <w:rFonts w:cs="Times New Roman"/>
          <w:i/>
          <w:iCs/>
          <w:sz w:val="22"/>
        </w:rPr>
        <w:t>SOIL</w:t>
      </w:r>
      <w:r w:rsidRPr="005453FD">
        <w:rPr>
          <w:rFonts w:cs="Times New Roman"/>
          <w:sz w:val="22"/>
        </w:rPr>
        <w:t xml:space="preserve">, </w:t>
      </w:r>
      <w:r w:rsidRPr="005453FD">
        <w:rPr>
          <w:rFonts w:cs="Times New Roman"/>
          <w:i/>
          <w:iCs/>
          <w:sz w:val="22"/>
        </w:rPr>
        <w:t>6</w:t>
      </w:r>
      <w:r w:rsidRPr="005453FD">
        <w:rPr>
          <w:rFonts w:cs="Times New Roman"/>
          <w:sz w:val="22"/>
        </w:rPr>
        <w:t>(1), 35-52. https://doi.org/10.5194/soil-6-35-2020</w:t>
      </w:r>
    </w:p>
    <w:p w14:paraId="6EE479D5" w14:textId="77777777" w:rsidR="005453FD" w:rsidRPr="005453FD" w:rsidRDefault="005453FD" w:rsidP="005453FD">
      <w:pPr>
        <w:pStyle w:val="Bibliografa"/>
        <w:rPr>
          <w:rFonts w:cs="Times New Roman"/>
          <w:sz w:val="22"/>
        </w:rPr>
      </w:pPr>
      <w:r w:rsidRPr="005453FD">
        <w:rPr>
          <w:rFonts w:cs="Times New Roman"/>
          <w:sz w:val="22"/>
        </w:rPr>
        <w:t xml:space="preserve">Patriche, C. V., Roşca, B., Pîrnău, R. G., &amp; Vasiliniuc, I. (2023). Spatial modelling of topsoil properties in Romania using geostatistical methods and machine learning. </w:t>
      </w:r>
      <w:r w:rsidRPr="005453FD">
        <w:rPr>
          <w:rFonts w:cs="Times New Roman"/>
          <w:i/>
          <w:iCs/>
          <w:sz w:val="22"/>
        </w:rPr>
        <w:t>PLOS ONE</w:t>
      </w:r>
      <w:r w:rsidRPr="005453FD">
        <w:rPr>
          <w:rFonts w:cs="Times New Roman"/>
          <w:sz w:val="22"/>
        </w:rPr>
        <w:t xml:space="preserve">, </w:t>
      </w:r>
      <w:r w:rsidRPr="005453FD">
        <w:rPr>
          <w:rFonts w:cs="Times New Roman"/>
          <w:i/>
          <w:iCs/>
          <w:sz w:val="22"/>
        </w:rPr>
        <w:t>18</w:t>
      </w:r>
      <w:r w:rsidRPr="005453FD">
        <w:rPr>
          <w:rFonts w:cs="Times New Roman"/>
          <w:sz w:val="22"/>
        </w:rPr>
        <w:t>(8), e0289286. https://doi.org/10.1371/journal.pone.0289286</w:t>
      </w:r>
    </w:p>
    <w:p w14:paraId="4E22D352" w14:textId="77777777" w:rsidR="005453FD" w:rsidRPr="005453FD" w:rsidRDefault="005453FD" w:rsidP="005453FD">
      <w:pPr>
        <w:pStyle w:val="Bibliografa"/>
        <w:rPr>
          <w:rFonts w:cs="Times New Roman"/>
          <w:sz w:val="22"/>
        </w:rPr>
      </w:pPr>
      <w:r w:rsidRPr="005453FD">
        <w:rPr>
          <w:rFonts w:cs="Times New Roman"/>
          <w:sz w:val="22"/>
        </w:rPr>
        <w:t xml:space="preserve">Pattison, T., Smith, L., Moody, P., Armour, J., Badcock, K., Cobon, J., Rasiah, V., Lindsay, S., &amp; Gulino, L. (2005). Banana root and soil health project-Australia. International Network for the Improvement of Banana and Plantain (INIBAP). En </w:t>
      </w:r>
      <w:r w:rsidRPr="005453FD">
        <w:rPr>
          <w:rFonts w:cs="Times New Roman"/>
          <w:i/>
          <w:iCs/>
          <w:sz w:val="22"/>
        </w:rPr>
        <w:t>Banana Root System: Towards a Better Understanding for Its Productive Management: Proceedings of an International Symposium Held in San José, Costa Rica, 3-5 November 2003</w:t>
      </w:r>
      <w:r w:rsidRPr="005453FD">
        <w:rPr>
          <w:rFonts w:cs="Times New Roman"/>
          <w:sz w:val="22"/>
        </w:rPr>
        <w:t xml:space="preserve"> (pp. 149-165). Bioversity International.</w:t>
      </w:r>
    </w:p>
    <w:p w14:paraId="2911BCD8"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Pedregosa, F., Varoquaux, G., Gramfort, A., Michel, V., Thirion, B., Grisel, O., Blondel, M., Prettenhofer, P., Weiss, R., Dubourg, V., Vanderplas, J., Passos, A., Cournapeau, D., Brucher, M., Perrot, M., &amp; Duchesnay, É. (2011). Scikit-learn: Machine Learning in Python. </w:t>
      </w:r>
      <w:r w:rsidRPr="005453FD">
        <w:rPr>
          <w:rFonts w:cs="Times New Roman"/>
          <w:i/>
          <w:iCs/>
          <w:sz w:val="22"/>
        </w:rPr>
        <w:t>Journal of Machine Learning Research</w:t>
      </w:r>
      <w:r w:rsidRPr="005453FD">
        <w:rPr>
          <w:rFonts w:cs="Times New Roman"/>
          <w:sz w:val="22"/>
        </w:rPr>
        <w:t xml:space="preserve">, </w:t>
      </w:r>
      <w:r w:rsidRPr="005453FD">
        <w:rPr>
          <w:rFonts w:cs="Times New Roman"/>
          <w:i/>
          <w:iCs/>
          <w:sz w:val="22"/>
        </w:rPr>
        <w:t>12</w:t>
      </w:r>
      <w:r w:rsidRPr="005453FD">
        <w:rPr>
          <w:rFonts w:cs="Times New Roman"/>
          <w:sz w:val="22"/>
        </w:rPr>
        <w:t>(85), 2825-2830.</w:t>
      </w:r>
    </w:p>
    <w:p w14:paraId="28866BF5" w14:textId="77777777" w:rsidR="005453FD" w:rsidRPr="005453FD" w:rsidRDefault="005453FD" w:rsidP="005453FD">
      <w:pPr>
        <w:pStyle w:val="Bibliografa"/>
        <w:rPr>
          <w:rFonts w:cs="Times New Roman"/>
          <w:sz w:val="22"/>
        </w:rPr>
      </w:pPr>
      <w:r w:rsidRPr="005453FD">
        <w:rPr>
          <w:rFonts w:cs="Times New Roman"/>
          <w:sz w:val="22"/>
        </w:rPr>
        <w:t xml:space="preserve">Pizarro, S., Pricope, N. G., Figueroa, D., Carbajal, C., Quispe, M., Vera, J., Alejandro, L., Achallma, L., Gonzalez, I., Salazar, W., Loayza, H., Cruz, J., &amp; Arbizu, C. I. (2023). Implementing Cloud Computing for the Digital Mapping of Agricultural Soil Properties from High Resolution UAV Multispectral Imagery. </w:t>
      </w:r>
      <w:r w:rsidRPr="005453FD">
        <w:rPr>
          <w:rFonts w:cs="Times New Roman"/>
          <w:i/>
          <w:iCs/>
          <w:sz w:val="22"/>
        </w:rPr>
        <w:t>Remote Sensing</w:t>
      </w:r>
      <w:r w:rsidRPr="005453FD">
        <w:rPr>
          <w:rFonts w:cs="Times New Roman"/>
          <w:sz w:val="22"/>
        </w:rPr>
        <w:t xml:space="preserve">, </w:t>
      </w:r>
      <w:r w:rsidRPr="005453FD">
        <w:rPr>
          <w:rFonts w:cs="Times New Roman"/>
          <w:i/>
          <w:iCs/>
          <w:sz w:val="22"/>
        </w:rPr>
        <w:t>15</w:t>
      </w:r>
      <w:r w:rsidRPr="005453FD">
        <w:rPr>
          <w:rFonts w:cs="Times New Roman"/>
          <w:sz w:val="22"/>
        </w:rPr>
        <w:t>(12), 3203. https://doi.org/10.3390/rs15123203</w:t>
      </w:r>
    </w:p>
    <w:p w14:paraId="47E86667" w14:textId="77777777" w:rsidR="005453FD" w:rsidRPr="005453FD" w:rsidRDefault="005453FD" w:rsidP="005453FD">
      <w:pPr>
        <w:pStyle w:val="Bibliografa"/>
        <w:rPr>
          <w:rFonts w:cs="Times New Roman"/>
          <w:sz w:val="22"/>
        </w:rPr>
      </w:pPr>
      <w:r w:rsidRPr="005453FD">
        <w:rPr>
          <w:rFonts w:cs="Times New Roman"/>
          <w:sz w:val="22"/>
        </w:rPr>
        <w:t xml:space="preserve">Poma-Chamana, R., Vilca-Gamarra, C., Hermoza, N., Mercado, R., Mejía, S., Rengifo, R., &amp; Quispe, K. (2025). Estimation and mapping of soil fertility index in arid agricultural environments of the Tambo Valley using regression kriging. </w:t>
      </w:r>
      <w:r w:rsidRPr="005453FD">
        <w:rPr>
          <w:rFonts w:cs="Times New Roman"/>
          <w:i/>
          <w:iCs/>
          <w:sz w:val="22"/>
        </w:rPr>
        <w:t>Frontiers in Soil Science</w:t>
      </w:r>
      <w:r w:rsidRPr="005453FD">
        <w:rPr>
          <w:rFonts w:cs="Times New Roman"/>
          <w:sz w:val="22"/>
        </w:rPr>
        <w:t xml:space="preserve">, </w:t>
      </w:r>
      <w:r w:rsidRPr="005453FD">
        <w:rPr>
          <w:rFonts w:cs="Times New Roman"/>
          <w:i/>
          <w:iCs/>
          <w:sz w:val="22"/>
        </w:rPr>
        <w:t>5</w:t>
      </w:r>
      <w:r w:rsidRPr="005453FD">
        <w:rPr>
          <w:rFonts w:cs="Times New Roman"/>
          <w:sz w:val="22"/>
        </w:rPr>
        <w:t>. https://doi.org/10.3389/fsoil.2025.1706974</w:t>
      </w:r>
    </w:p>
    <w:p w14:paraId="39AD5370" w14:textId="77777777" w:rsidR="005453FD" w:rsidRPr="005453FD" w:rsidRDefault="005453FD" w:rsidP="005453FD">
      <w:pPr>
        <w:pStyle w:val="Bibliografa"/>
        <w:rPr>
          <w:rFonts w:cs="Times New Roman"/>
          <w:sz w:val="22"/>
        </w:rPr>
      </w:pPr>
      <w:r w:rsidRPr="005453FD">
        <w:rPr>
          <w:rFonts w:cs="Times New Roman"/>
          <w:sz w:val="22"/>
        </w:rPr>
        <w:t xml:space="preserve">Poma-Chamana, R., Vilca-Gamarra, C., Linares-Escapa, S., Puma-Huacani, K., Carrillo, A., Villalta Soto, M. J. C., &amp; Quispe, K. (2026). Soil quality in olive orchards of southern Peru using a weighted soil quality index (SQIw): Constraints by salinity, organic matter and sustainable management approach. </w:t>
      </w:r>
      <w:r w:rsidRPr="005453FD">
        <w:rPr>
          <w:rFonts w:cs="Times New Roman"/>
          <w:i/>
          <w:iCs/>
          <w:sz w:val="22"/>
        </w:rPr>
        <w:t>Frontiers in Soil Science</w:t>
      </w:r>
      <w:r w:rsidRPr="005453FD">
        <w:rPr>
          <w:rFonts w:cs="Times New Roman"/>
          <w:sz w:val="22"/>
        </w:rPr>
        <w:t xml:space="preserve">, </w:t>
      </w:r>
      <w:r w:rsidRPr="005453FD">
        <w:rPr>
          <w:rFonts w:cs="Times New Roman"/>
          <w:i/>
          <w:iCs/>
          <w:sz w:val="22"/>
        </w:rPr>
        <w:t>6</w:t>
      </w:r>
      <w:r w:rsidRPr="005453FD">
        <w:rPr>
          <w:rFonts w:cs="Times New Roman"/>
          <w:sz w:val="22"/>
        </w:rPr>
        <w:t>. https://doi.org/10.3389/fsoil.2026.1724235</w:t>
      </w:r>
    </w:p>
    <w:p w14:paraId="4966B73E" w14:textId="77777777" w:rsidR="005453FD" w:rsidRPr="005453FD" w:rsidRDefault="005453FD" w:rsidP="005453FD">
      <w:pPr>
        <w:pStyle w:val="Bibliografa"/>
        <w:rPr>
          <w:rFonts w:cs="Times New Roman"/>
          <w:sz w:val="22"/>
        </w:rPr>
      </w:pPr>
      <w:r w:rsidRPr="005453FD">
        <w:rPr>
          <w:rFonts w:cs="Times New Roman"/>
          <w:sz w:val="22"/>
        </w:rPr>
        <w:t xml:space="preserve">Pouladi, N., Møller, A. B., Tabatabai, S., &amp; Greve, M. H. (2019). Mapping soil organic matter contents at field level with Cubist, Random Forest and kriging. </w:t>
      </w:r>
      <w:r w:rsidRPr="005453FD">
        <w:rPr>
          <w:rFonts w:cs="Times New Roman"/>
          <w:i/>
          <w:iCs/>
          <w:sz w:val="22"/>
        </w:rPr>
        <w:t>Geoderma</w:t>
      </w:r>
      <w:r w:rsidRPr="005453FD">
        <w:rPr>
          <w:rFonts w:cs="Times New Roman"/>
          <w:sz w:val="22"/>
        </w:rPr>
        <w:t xml:space="preserve">, </w:t>
      </w:r>
      <w:r w:rsidRPr="005453FD">
        <w:rPr>
          <w:rFonts w:cs="Times New Roman"/>
          <w:i/>
          <w:iCs/>
          <w:sz w:val="22"/>
        </w:rPr>
        <w:t>342</w:t>
      </w:r>
      <w:r w:rsidRPr="005453FD">
        <w:rPr>
          <w:rFonts w:cs="Times New Roman"/>
          <w:sz w:val="22"/>
        </w:rPr>
        <w:t>, 85-92. https://doi.org/10.1016/j.geoderma.2019.02.019</w:t>
      </w:r>
    </w:p>
    <w:p w14:paraId="0490B146" w14:textId="77777777" w:rsidR="005453FD" w:rsidRPr="005453FD" w:rsidRDefault="005453FD" w:rsidP="005453FD">
      <w:pPr>
        <w:pStyle w:val="Bibliografa"/>
        <w:rPr>
          <w:rFonts w:cs="Times New Roman"/>
          <w:sz w:val="22"/>
        </w:rPr>
      </w:pPr>
      <w:r w:rsidRPr="005453FD">
        <w:rPr>
          <w:rFonts w:cs="Times New Roman"/>
          <w:sz w:val="22"/>
        </w:rPr>
        <w:t xml:space="preserve">Priori, S., Pellegrini, S., Vignozzi, N., &amp; Costantini, E. A. C. (2021). Soil Physical-Hydrological Degradation in the Root-Zone of Tree Crops: Problems and Solutions. </w:t>
      </w:r>
      <w:r w:rsidRPr="005453FD">
        <w:rPr>
          <w:rFonts w:cs="Times New Roman"/>
          <w:i/>
          <w:iCs/>
          <w:sz w:val="22"/>
        </w:rPr>
        <w:t>Agronomy</w:t>
      </w:r>
      <w:r w:rsidRPr="005453FD">
        <w:rPr>
          <w:rFonts w:cs="Times New Roman"/>
          <w:sz w:val="22"/>
        </w:rPr>
        <w:t xml:space="preserve">, </w:t>
      </w:r>
      <w:r w:rsidRPr="005453FD">
        <w:rPr>
          <w:rFonts w:cs="Times New Roman"/>
          <w:i/>
          <w:iCs/>
          <w:sz w:val="22"/>
        </w:rPr>
        <w:t>11</w:t>
      </w:r>
      <w:r w:rsidRPr="005453FD">
        <w:rPr>
          <w:rFonts w:cs="Times New Roman"/>
          <w:sz w:val="22"/>
        </w:rPr>
        <w:t>(1), 68. https://doi.org/10.3390/agronomy11010068</w:t>
      </w:r>
    </w:p>
    <w:p w14:paraId="3DED858C" w14:textId="77777777" w:rsidR="005453FD" w:rsidRPr="005453FD" w:rsidRDefault="005453FD" w:rsidP="005453FD">
      <w:pPr>
        <w:pStyle w:val="Bibliografa"/>
        <w:rPr>
          <w:rFonts w:cs="Times New Roman"/>
          <w:sz w:val="22"/>
        </w:rPr>
      </w:pPr>
      <w:r w:rsidRPr="005453FD">
        <w:rPr>
          <w:rFonts w:cs="Times New Roman"/>
          <w:sz w:val="22"/>
        </w:rPr>
        <w:t xml:space="preserve">PROMPERÚ. (2024). </w:t>
      </w:r>
      <w:r w:rsidRPr="005453FD">
        <w:rPr>
          <w:rFonts w:cs="Times New Roman"/>
          <w:i/>
          <w:iCs/>
          <w:sz w:val="22"/>
        </w:rPr>
        <w:t>Resultados de Exportaciones 2024</w:t>
      </w:r>
      <w:r w:rsidRPr="005453FD">
        <w:rPr>
          <w:rFonts w:cs="Times New Roman"/>
          <w:sz w:val="22"/>
        </w:rPr>
        <w:t>. https://exportemos.pe/recurso/31539/resultados-de-exportaciones-peru-2024</w:t>
      </w:r>
    </w:p>
    <w:p w14:paraId="5C2931C3" w14:textId="77777777" w:rsidR="005453FD" w:rsidRPr="005453FD" w:rsidRDefault="005453FD" w:rsidP="005453FD">
      <w:pPr>
        <w:pStyle w:val="Bibliografa"/>
        <w:rPr>
          <w:rFonts w:cs="Times New Roman"/>
          <w:sz w:val="22"/>
        </w:rPr>
      </w:pPr>
      <w:r w:rsidRPr="005453FD">
        <w:rPr>
          <w:rFonts w:cs="Times New Roman"/>
          <w:sz w:val="22"/>
        </w:rPr>
        <w:t xml:space="preserve">Python Software Foundation. (2026). </w:t>
      </w:r>
      <w:r w:rsidRPr="005453FD">
        <w:rPr>
          <w:rFonts w:cs="Times New Roman"/>
          <w:i/>
          <w:iCs/>
          <w:sz w:val="22"/>
        </w:rPr>
        <w:t>Python</w:t>
      </w:r>
      <w:r w:rsidRPr="005453FD">
        <w:rPr>
          <w:rFonts w:cs="Times New Roman"/>
          <w:sz w:val="22"/>
        </w:rPr>
        <w:t xml:space="preserve"> (Versión 3.14.3) [Software]. https://www.python.org/</w:t>
      </w:r>
    </w:p>
    <w:p w14:paraId="3366E0E1"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Quispe, K., Hermoza, N., Mejia, S., Ccosi, E., Miranda, D., Choquechambi, L., Choquehuanca, K., Carrasco, E., &amp; Cuellar-Condori, N. (2026). Spatial Variation of Acidic Sodic Soils in High-Andean Environments and Theoretical Estimation of Gypsum Requirement. </w:t>
      </w:r>
      <w:r w:rsidRPr="005453FD">
        <w:rPr>
          <w:rFonts w:cs="Times New Roman"/>
          <w:i/>
          <w:iCs/>
          <w:sz w:val="22"/>
        </w:rPr>
        <w:t>Soil Use and Management</w:t>
      </w:r>
      <w:r w:rsidRPr="005453FD">
        <w:rPr>
          <w:rFonts w:cs="Times New Roman"/>
          <w:sz w:val="22"/>
        </w:rPr>
        <w:t xml:space="preserve">, </w:t>
      </w:r>
      <w:r w:rsidRPr="005453FD">
        <w:rPr>
          <w:rFonts w:cs="Times New Roman"/>
          <w:i/>
          <w:iCs/>
          <w:sz w:val="22"/>
        </w:rPr>
        <w:t>42</w:t>
      </w:r>
      <w:r w:rsidRPr="005453FD">
        <w:rPr>
          <w:rFonts w:cs="Times New Roman"/>
          <w:sz w:val="22"/>
        </w:rPr>
        <w:t>(3), e70255. https://doi.org/10.1111/sum.70255</w:t>
      </w:r>
    </w:p>
    <w:p w14:paraId="0CCDE5D1" w14:textId="77777777" w:rsidR="005453FD" w:rsidRPr="005453FD" w:rsidRDefault="005453FD" w:rsidP="005453FD">
      <w:pPr>
        <w:pStyle w:val="Bibliografa"/>
        <w:rPr>
          <w:rFonts w:cs="Times New Roman"/>
          <w:sz w:val="22"/>
        </w:rPr>
      </w:pPr>
      <w:r w:rsidRPr="005453FD">
        <w:rPr>
          <w:rFonts w:cs="Times New Roman"/>
          <w:sz w:val="22"/>
        </w:rPr>
        <w:t xml:space="preserve">Rabot, E., Guiresse, M., Pittatore, Y., Angelini, M., Keller, C., &amp; Lagacherie, P. (2022). Development and spatialization of a soil potential multifunctionality index for agriculture (Agri-SPMI) at the regional scale. Case study in the Occitanie region (France). </w:t>
      </w:r>
      <w:r w:rsidRPr="005453FD">
        <w:rPr>
          <w:rFonts w:cs="Times New Roman"/>
          <w:i/>
          <w:iCs/>
          <w:sz w:val="22"/>
        </w:rPr>
        <w:t>Soil Security</w:t>
      </w:r>
      <w:r w:rsidRPr="005453FD">
        <w:rPr>
          <w:rFonts w:cs="Times New Roman"/>
          <w:sz w:val="22"/>
        </w:rPr>
        <w:t xml:space="preserve">, </w:t>
      </w:r>
      <w:r w:rsidRPr="005453FD">
        <w:rPr>
          <w:rFonts w:cs="Times New Roman"/>
          <w:i/>
          <w:iCs/>
          <w:sz w:val="22"/>
        </w:rPr>
        <w:t>6</w:t>
      </w:r>
      <w:r w:rsidRPr="005453FD">
        <w:rPr>
          <w:rFonts w:cs="Times New Roman"/>
          <w:sz w:val="22"/>
        </w:rPr>
        <w:t>, 100034. https://doi.org/10.1016/j.soisec.2022.100034</w:t>
      </w:r>
    </w:p>
    <w:p w14:paraId="51F640BE" w14:textId="77777777" w:rsidR="005453FD" w:rsidRPr="005453FD" w:rsidRDefault="005453FD" w:rsidP="005453FD">
      <w:pPr>
        <w:pStyle w:val="Bibliografa"/>
        <w:rPr>
          <w:rFonts w:cs="Times New Roman"/>
          <w:sz w:val="22"/>
        </w:rPr>
      </w:pPr>
      <w:r w:rsidRPr="005453FD">
        <w:rPr>
          <w:rFonts w:cs="Times New Roman"/>
          <w:sz w:val="22"/>
        </w:rPr>
        <w:t xml:space="preserve">Rawls, W. J. (1983). ESTIMATING SOIL BULK DENSITY FROM PARTICLE SIZE ANALYSIS AND ORGANIC MATTER CONTENT. </w:t>
      </w:r>
      <w:r w:rsidRPr="005453FD">
        <w:rPr>
          <w:rFonts w:cs="Times New Roman"/>
          <w:i/>
          <w:iCs/>
          <w:sz w:val="22"/>
        </w:rPr>
        <w:t>Soil Science</w:t>
      </w:r>
      <w:r w:rsidRPr="005453FD">
        <w:rPr>
          <w:rFonts w:cs="Times New Roman"/>
          <w:sz w:val="22"/>
        </w:rPr>
        <w:t xml:space="preserve">, </w:t>
      </w:r>
      <w:r w:rsidRPr="005453FD">
        <w:rPr>
          <w:rFonts w:cs="Times New Roman"/>
          <w:i/>
          <w:iCs/>
          <w:sz w:val="22"/>
        </w:rPr>
        <w:t>135</w:t>
      </w:r>
      <w:r w:rsidRPr="005453FD">
        <w:rPr>
          <w:rFonts w:cs="Times New Roman"/>
          <w:sz w:val="22"/>
        </w:rPr>
        <w:t>(2), 123.</w:t>
      </w:r>
    </w:p>
    <w:p w14:paraId="6F1E8D3E" w14:textId="77777777" w:rsidR="005453FD" w:rsidRPr="005453FD" w:rsidRDefault="005453FD" w:rsidP="005453FD">
      <w:pPr>
        <w:pStyle w:val="Bibliografa"/>
        <w:rPr>
          <w:rFonts w:cs="Times New Roman"/>
          <w:sz w:val="22"/>
        </w:rPr>
      </w:pPr>
      <w:r w:rsidRPr="005453FD">
        <w:rPr>
          <w:rFonts w:cs="Times New Roman"/>
          <w:sz w:val="22"/>
        </w:rPr>
        <w:t xml:space="preserve">Ren, D., Wei, B., Xu, X., Engel, B., Li, G., Huang, Q., Xiong, Y., &amp; Huang, G. (2019). Analyzing spatiotemporal characteristics of soil salinity in arid irrigated agro-ecosystems using integrated approaches. </w:t>
      </w:r>
      <w:r w:rsidRPr="005453FD">
        <w:rPr>
          <w:rFonts w:cs="Times New Roman"/>
          <w:i/>
          <w:iCs/>
          <w:sz w:val="22"/>
        </w:rPr>
        <w:t>Geoderma</w:t>
      </w:r>
      <w:r w:rsidRPr="005453FD">
        <w:rPr>
          <w:rFonts w:cs="Times New Roman"/>
          <w:sz w:val="22"/>
        </w:rPr>
        <w:t xml:space="preserve">, </w:t>
      </w:r>
      <w:r w:rsidRPr="005453FD">
        <w:rPr>
          <w:rFonts w:cs="Times New Roman"/>
          <w:i/>
          <w:iCs/>
          <w:sz w:val="22"/>
        </w:rPr>
        <w:t>356</w:t>
      </w:r>
      <w:r w:rsidRPr="005453FD">
        <w:rPr>
          <w:rFonts w:cs="Times New Roman"/>
          <w:sz w:val="22"/>
        </w:rPr>
        <w:t>, 113935. https://doi.org/10.1016/j.geoderma.2019.113935</w:t>
      </w:r>
    </w:p>
    <w:p w14:paraId="021D63A9" w14:textId="77777777" w:rsidR="005453FD" w:rsidRPr="005453FD" w:rsidRDefault="005453FD" w:rsidP="005453FD">
      <w:pPr>
        <w:pStyle w:val="Bibliografa"/>
        <w:rPr>
          <w:rFonts w:cs="Times New Roman"/>
          <w:sz w:val="22"/>
        </w:rPr>
      </w:pPr>
      <w:r w:rsidRPr="005453FD">
        <w:rPr>
          <w:rFonts w:cs="Times New Roman"/>
          <w:sz w:val="22"/>
        </w:rPr>
        <w:t xml:space="preserve">Rengasamy, P. (2016). Soil Chemistry Factors Confounding Crop Salinity Tolerance—A Review. </w:t>
      </w:r>
      <w:r w:rsidRPr="005453FD">
        <w:rPr>
          <w:rFonts w:cs="Times New Roman"/>
          <w:i/>
          <w:iCs/>
          <w:sz w:val="22"/>
        </w:rPr>
        <w:t>Agronomy</w:t>
      </w:r>
      <w:r w:rsidRPr="005453FD">
        <w:rPr>
          <w:rFonts w:cs="Times New Roman"/>
          <w:sz w:val="22"/>
        </w:rPr>
        <w:t xml:space="preserve">, </w:t>
      </w:r>
      <w:r w:rsidRPr="005453FD">
        <w:rPr>
          <w:rFonts w:cs="Times New Roman"/>
          <w:i/>
          <w:iCs/>
          <w:sz w:val="22"/>
        </w:rPr>
        <w:t>6</w:t>
      </w:r>
      <w:r w:rsidRPr="005453FD">
        <w:rPr>
          <w:rFonts w:cs="Times New Roman"/>
          <w:sz w:val="22"/>
        </w:rPr>
        <w:t>(4), 53. https://doi.org/10.3390/agronomy6040053</w:t>
      </w:r>
    </w:p>
    <w:p w14:paraId="3C84FFAB" w14:textId="77777777" w:rsidR="005453FD" w:rsidRPr="005453FD" w:rsidRDefault="005453FD" w:rsidP="005453FD">
      <w:pPr>
        <w:pStyle w:val="Bibliografa"/>
        <w:rPr>
          <w:rFonts w:cs="Times New Roman"/>
          <w:sz w:val="22"/>
        </w:rPr>
      </w:pPr>
      <w:r w:rsidRPr="005453FD">
        <w:rPr>
          <w:rFonts w:cs="Times New Roman"/>
          <w:sz w:val="22"/>
        </w:rPr>
        <w:t xml:space="preserve">Sahabiev, I., Smirnova, E., &amp; Giniyatullin, K. (2021). Spatial Prediction of Agrochemical Properties on the Scale of a Single Field Using Machine Learning Methods Based on Remote Sensing Data. </w:t>
      </w:r>
      <w:r w:rsidRPr="005453FD">
        <w:rPr>
          <w:rFonts w:cs="Times New Roman"/>
          <w:i/>
          <w:iCs/>
          <w:sz w:val="22"/>
        </w:rPr>
        <w:t>Agronomy</w:t>
      </w:r>
      <w:r w:rsidRPr="005453FD">
        <w:rPr>
          <w:rFonts w:cs="Times New Roman"/>
          <w:sz w:val="22"/>
        </w:rPr>
        <w:t xml:space="preserve">, </w:t>
      </w:r>
      <w:r w:rsidRPr="005453FD">
        <w:rPr>
          <w:rFonts w:cs="Times New Roman"/>
          <w:i/>
          <w:iCs/>
          <w:sz w:val="22"/>
        </w:rPr>
        <w:t>11</w:t>
      </w:r>
      <w:r w:rsidRPr="005453FD">
        <w:rPr>
          <w:rFonts w:cs="Times New Roman"/>
          <w:sz w:val="22"/>
        </w:rPr>
        <w:t>(11), 2266. https://doi.org/10.3390/agronomy11112266</w:t>
      </w:r>
    </w:p>
    <w:p w14:paraId="55512295" w14:textId="77777777" w:rsidR="005453FD" w:rsidRPr="005453FD" w:rsidRDefault="005453FD" w:rsidP="005453FD">
      <w:pPr>
        <w:pStyle w:val="Bibliografa"/>
        <w:rPr>
          <w:rFonts w:cs="Times New Roman"/>
          <w:sz w:val="22"/>
        </w:rPr>
      </w:pPr>
      <w:r w:rsidRPr="005453FD">
        <w:rPr>
          <w:rFonts w:cs="Times New Roman"/>
          <w:sz w:val="22"/>
        </w:rPr>
        <w:t xml:space="preserve">Schmidt, J., Fungenzi, T., Recamán, A., &amp; Khalsa, S. D. S. (2025). Evaluation of a composite soil health index and soil microbiome in a regenerative agriculture cocoa chronosequence. </w:t>
      </w:r>
      <w:r w:rsidRPr="005453FD">
        <w:rPr>
          <w:rFonts w:cs="Times New Roman"/>
          <w:i/>
          <w:iCs/>
          <w:sz w:val="22"/>
        </w:rPr>
        <w:t>Ecological Indicators</w:t>
      </w:r>
      <w:r w:rsidRPr="005453FD">
        <w:rPr>
          <w:rFonts w:cs="Times New Roman"/>
          <w:sz w:val="22"/>
        </w:rPr>
        <w:t xml:space="preserve">, </w:t>
      </w:r>
      <w:r w:rsidRPr="005453FD">
        <w:rPr>
          <w:rFonts w:cs="Times New Roman"/>
          <w:i/>
          <w:iCs/>
          <w:sz w:val="22"/>
        </w:rPr>
        <w:t>178</w:t>
      </w:r>
      <w:r w:rsidRPr="005453FD">
        <w:rPr>
          <w:rFonts w:cs="Times New Roman"/>
          <w:sz w:val="22"/>
        </w:rPr>
        <w:t>, 113866. https://doi.org/10.1016/j.ecolind.2025.113866</w:t>
      </w:r>
    </w:p>
    <w:p w14:paraId="24A88858" w14:textId="77777777" w:rsidR="005453FD" w:rsidRPr="005453FD" w:rsidRDefault="005453FD" w:rsidP="005453FD">
      <w:pPr>
        <w:pStyle w:val="Bibliografa"/>
        <w:rPr>
          <w:rFonts w:cs="Times New Roman"/>
          <w:sz w:val="22"/>
        </w:rPr>
      </w:pPr>
      <w:r w:rsidRPr="005453FD">
        <w:rPr>
          <w:rFonts w:cs="Times New Roman"/>
          <w:sz w:val="22"/>
        </w:rPr>
        <w:t xml:space="preserve">Secretaría de Medio Ambiente y Recursos Naturales (SEMARNAT). (2002). </w:t>
      </w:r>
      <w:r w:rsidRPr="005453FD">
        <w:rPr>
          <w:rFonts w:cs="Times New Roman"/>
          <w:i/>
          <w:iCs/>
          <w:sz w:val="22"/>
        </w:rPr>
        <w:t>Official Mexican Standard NOM-021-RECNAT-2000. Establishing specifications for soil fertility, salinity and classification. Studies, sampling and analysis</w:t>
      </w:r>
      <w:r w:rsidRPr="005453FD">
        <w:rPr>
          <w:rFonts w:cs="Times New Roman"/>
          <w:sz w:val="22"/>
        </w:rPr>
        <w:t xml:space="preserve"> (Official Gazette of the Federation). https://www.ordenjuridico.gob.mx/Documentos/Federal/wo69255.pdf</w:t>
      </w:r>
    </w:p>
    <w:p w14:paraId="7083661E"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Singh, A. (2022). Soil salinity: A global threat to sustainable development. </w:t>
      </w:r>
      <w:r w:rsidRPr="005453FD">
        <w:rPr>
          <w:rFonts w:cs="Times New Roman"/>
          <w:i/>
          <w:iCs/>
          <w:sz w:val="22"/>
        </w:rPr>
        <w:t>Soil Use and Management</w:t>
      </w:r>
      <w:r w:rsidRPr="005453FD">
        <w:rPr>
          <w:rFonts w:cs="Times New Roman"/>
          <w:sz w:val="22"/>
        </w:rPr>
        <w:t xml:space="preserve">, </w:t>
      </w:r>
      <w:r w:rsidRPr="005453FD">
        <w:rPr>
          <w:rFonts w:cs="Times New Roman"/>
          <w:i/>
          <w:iCs/>
          <w:sz w:val="22"/>
        </w:rPr>
        <w:t>38</w:t>
      </w:r>
      <w:r w:rsidRPr="005453FD">
        <w:rPr>
          <w:rFonts w:cs="Times New Roman"/>
          <w:sz w:val="22"/>
        </w:rPr>
        <w:t>(1), 39-67. https://doi.org/10.1111/sum.12772</w:t>
      </w:r>
    </w:p>
    <w:p w14:paraId="7BF1780B" w14:textId="77777777" w:rsidR="005453FD" w:rsidRPr="005453FD" w:rsidRDefault="005453FD" w:rsidP="005453FD">
      <w:pPr>
        <w:pStyle w:val="Bibliografa"/>
        <w:rPr>
          <w:rFonts w:cs="Times New Roman"/>
          <w:sz w:val="22"/>
        </w:rPr>
      </w:pPr>
      <w:r w:rsidRPr="005453FD">
        <w:rPr>
          <w:rFonts w:cs="Times New Roman"/>
          <w:sz w:val="22"/>
        </w:rPr>
        <w:t xml:space="preserve">Solórzano, R., Llerena, R., Mejía, S., Cruz, J., &amp; Quispe, K. (2025). Spatial Distribution of Cadmium in Avocado-Cultivated Soils of Peru: Influence of Parent Material, Exchangeable Cations, and Trace Elements. </w:t>
      </w:r>
      <w:r w:rsidRPr="005453FD">
        <w:rPr>
          <w:rFonts w:cs="Times New Roman"/>
          <w:i/>
          <w:iCs/>
          <w:sz w:val="22"/>
        </w:rPr>
        <w:t>Agriculture</w:t>
      </w:r>
      <w:r w:rsidRPr="005453FD">
        <w:rPr>
          <w:rFonts w:cs="Times New Roman"/>
          <w:sz w:val="22"/>
        </w:rPr>
        <w:t xml:space="preserve">, </w:t>
      </w:r>
      <w:r w:rsidRPr="005453FD">
        <w:rPr>
          <w:rFonts w:cs="Times New Roman"/>
          <w:i/>
          <w:iCs/>
          <w:sz w:val="22"/>
        </w:rPr>
        <w:t>15</w:t>
      </w:r>
      <w:r w:rsidRPr="005453FD">
        <w:rPr>
          <w:rFonts w:cs="Times New Roman"/>
          <w:sz w:val="22"/>
        </w:rPr>
        <w:t>(13), 1413. https://doi.org/10.3390/agriculture15131413</w:t>
      </w:r>
    </w:p>
    <w:p w14:paraId="7997349B" w14:textId="77777777" w:rsidR="005453FD" w:rsidRPr="005453FD" w:rsidRDefault="005453FD" w:rsidP="005453FD">
      <w:pPr>
        <w:pStyle w:val="Bibliografa"/>
        <w:rPr>
          <w:rFonts w:cs="Times New Roman"/>
          <w:sz w:val="22"/>
        </w:rPr>
      </w:pPr>
      <w:r w:rsidRPr="005453FD">
        <w:rPr>
          <w:rFonts w:cs="Times New Roman"/>
          <w:sz w:val="22"/>
        </w:rPr>
        <w:t xml:space="preserve">Solórzano-Acosta, R., Chanco, M., Seminario, M., Cabello-Torres, R., Camel, V., Lastra, S., Arias, A., Verástegui, P., Quispe, K., Carbajal-Llosa, C., Cuevas, J. P., Cruz, J., &amp; Turín, C. (2025). Soil management in Lepidium meyenii (maca) monoculture: Trends and challenges for small farmers around Lake Chinchaycocha in the Andean highlands of Junin (Peru). </w:t>
      </w:r>
      <w:r w:rsidRPr="005453FD">
        <w:rPr>
          <w:rFonts w:cs="Times New Roman"/>
          <w:i/>
          <w:iCs/>
          <w:sz w:val="22"/>
        </w:rPr>
        <w:t>Frontiers in Soil Science</w:t>
      </w:r>
      <w:r w:rsidRPr="005453FD">
        <w:rPr>
          <w:rFonts w:cs="Times New Roman"/>
          <w:sz w:val="22"/>
        </w:rPr>
        <w:t xml:space="preserve">, </w:t>
      </w:r>
      <w:r w:rsidRPr="005453FD">
        <w:rPr>
          <w:rFonts w:cs="Times New Roman"/>
          <w:i/>
          <w:iCs/>
          <w:sz w:val="22"/>
        </w:rPr>
        <w:t>4</w:t>
      </w:r>
      <w:r w:rsidRPr="005453FD">
        <w:rPr>
          <w:rFonts w:cs="Times New Roman"/>
          <w:sz w:val="22"/>
        </w:rPr>
        <w:t>. https://doi.org/10.3389/fsoil.2024.1419745</w:t>
      </w:r>
    </w:p>
    <w:p w14:paraId="38CA0CD4" w14:textId="77777777" w:rsidR="005453FD" w:rsidRPr="005453FD" w:rsidRDefault="005453FD" w:rsidP="005453FD">
      <w:pPr>
        <w:pStyle w:val="Bibliografa"/>
        <w:rPr>
          <w:rFonts w:cs="Times New Roman"/>
          <w:sz w:val="22"/>
        </w:rPr>
      </w:pPr>
      <w:r w:rsidRPr="005453FD">
        <w:rPr>
          <w:rFonts w:cs="Times New Roman"/>
          <w:sz w:val="22"/>
        </w:rPr>
        <w:t xml:space="preserve">Stavi, I., Thevs, N., &amp; Priori, S. (2021). Soil Salinity and Sodicity in Drylands: A Review of Causes, Effects, Monitoring, and Restoration Measures. </w:t>
      </w:r>
      <w:r w:rsidRPr="005453FD">
        <w:rPr>
          <w:rFonts w:cs="Times New Roman"/>
          <w:i/>
          <w:iCs/>
          <w:sz w:val="22"/>
        </w:rPr>
        <w:t>Frontiers in Environmental Science</w:t>
      </w:r>
      <w:r w:rsidRPr="005453FD">
        <w:rPr>
          <w:rFonts w:cs="Times New Roman"/>
          <w:sz w:val="22"/>
        </w:rPr>
        <w:t xml:space="preserve">, </w:t>
      </w:r>
      <w:r w:rsidRPr="005453FD">
        <w:rPr>
          <w:rFonts w:cs="Times New Roman"/>
          <w:i/>
          <w:iCs/>
          <w:sz w:val="22"/>
        </w:rPr>
        <w:t>9</w:t>
      </w:r>
      <w:r w:rsidRPr="005453FD">
        <w:rPr>
          <w:rFonts w:cs="Times New Roman"/>
          <w:sz w:val="22"/>
        </w:rPr>
        <w:t>. https://doi.org/10.3389/fenvs.2021.712831</w:t>
      </w:r>
    </w:p>
    <w:p w14:paraId="3A5AF7DC" w14:textId="77777777" w:rsidR="005453FD" w:rsidRPr="005453FD" w:rsidRDefault="005453FD" w:rsidP="005453FD">
      <w:pPr>
        <w:pStyle w:val="Bibliografa"/>
        <w:rPr>
          <w:rFonts w:cs="Times New Roman"/>
          <w:sz w:val="22"/>
        </w:rPr>
      </w:pPr>
      <w:r w:rsidRPr="005453FD">
        <w:rPr>
          <w:rFonts w:cs="Times New Roman"/>
          <w:sz w:val="22"/>
        </w:rPr>
        <w:t xml:space="preserve">Suleymanov, A., Polyakov, V., Kozlov, A., Abakumov, E., Kuzmenko, P., &amp; Telyagissov, S. (2023). Mapping of potentially toxic elements in the urban topsoil of St. Petersburg (Russia) using regression kriging and random forest algorithms. </w:t>
      </w:r>
      <w:r w:rsidRPr="005453FD">
        <w:rPr>
          <w:rFonts w:cs="Times New Roman"/>
          <w:i/>
          <w:iCs/>
          <w:sz w:val="22"/>
        </w:rPr>
        <w:t>Environmental Earth Sciences</w:t>
      </w:r>
      <w:r w:rsidRPr="005453FD">
        <w:rPr>
          <w:rFonts w:cs="Times New Roman"/>
          <w:sz w:val="22"/>
        </w:rPr>
        <w:t xml:space="preserve">, </w:t>
      </w:r>
      <w:r w:rsidRPr="005453FD">
        <w:rPr>
          <w:rFonts w:cs="Times New Roman"/>
          <w:i/>
          <w:iCs/>
          <w:sz w:val="22"/>
        </w:rPr>
        <w:t>82</w:t>
      </w:r>
      <w:r w:rsidRPr="005453FD">
        <w:rPr>
          <w:rFonts w:cs="Times New Roman"/>
          <w:sz w:val="22"/>
        </w:rPr>
        <w:t>(23), 561. https://doi.org/10.1007/s12665-023-11272-9</w:t>
      </w:r>
    </w:p>
    <w:p w14:paraId="4EE37A67" w14:textId="77777777" w:rsidR="005453FD" w:rsidRPr="005453FD" w:rsidRDefault="005453FD" w:rsidP="005453FD">
      <w:pPr>
        <w:pStyle w:val="Bibliografa"/>
        <w:rPr>
          <w:rFonts w:cs="Times New Roman"/>
          <w:sz w:val="22"/>
        </w:rPr>
      </w:pPr>
      <w:r w:rsidRPr="005453FD">
        <w:rPr>
          <w:rFonts w:cs="Times New Roman"/>
          <w:sz w:val="22"/>
        </w:rPr>
        <w:t xml:space="preserve">Takoutsing, B., &amp; Heuvelink, G. B. M. (2022). Comparing the prediction performance, uncertainty quantification and extrapolation potential of regression kriging and random forest while accounting for soil measurement errors. </w:t>
      </w:r>
      <w:r w:rsidRPr="005453FD">
        <w:rPr>
          <w:rFonts w:cs="Times New Roman"/>
          <w:i/>
          <w:iCs/>
          <w:sz w:val="22"/>
        </w:rPr>
        <w:t>Geoderma</w:t>
      </w:r>
      <w:r w:rsidRPr="005453FD">
        <w:rPr>
          <w:rFonts w:cs="Times New Roman"/>
          <w:sz w:val="22"/>
        </w:rPr>
        <w:t xml:space="preserve">, </w:t>
      </w:r>
      <w:r w:rsidRPr="005453FD">
        <w:rPr>
          <w:rFonts w:cs="Times New Roman"/>
          <w:i/>
          <w:iCs/>
          <w:sz w:val="22"/>
        </w:rPr>
        <w:t>428</w:t>
      </w:r>
      <w:r w:rsidRPr="005453FD">
        <w:rPr>
          <w:rFonts w:cs="Times New Roman"/>
          <w:sz w:val="22"/>
        </w:rPr>
        <w:t>, 116192. https://doi.org/10.1016/j.geoderma.2022.116192</w:t>
      </w:r>
    </w:p>
    <w:p w14:paraId="07DBA633" w14:textId="77777777" w:rsidR="005453FD" w:rsidRPr="005453FD" w:rsidRDefault="005453FD" w:rsidP="005453FD">
      <w:pPr>
        <w:pStyle w:val="Bibliografa"/>
        <w:rPr>
          <w:rFonts w:cs="Times New Roman"/>
          <w:sz w:val="22"/>
        </w:rPr>
      </w:pPr>
      <w:r w:rsidRPr="005453FD">
        <w:rPr>
          <w:rFonts w:cs="Times New Roman"/>
          <w:sz w:val="22"/>
        </w:rPr>
        <w:t xml:space="preserve">Terpilowski, M. A. (2019). scikit-posthocs: Pairwise multiple comparison tests in Python. </w:t>
      </w:r>
      <w:r w:rsidRPr="005453FD">
        <w:rPr>
          <w:rFonts w:cs="Times New Roman"/>
          <w:i/>
          <w:iCs/>
          <w:sz w:val="22"/>
        </w:rPr>
        <w:t>Journal of Open Source Software</w:t>
      </w:r>
      <w:r w:rsidRPr="005453FD">
        <w:rPr>
          <w:rFonts w:cs="Times New Roman"/>
          <w:sz w:val="22"/>
        </w:rPr>
        <w:t xml:space="preserve">, </w:t>
      </w:r>
      <w:r w:rsidRPr="005453FD">
        <w:rPr>
          <w:rFonts w:cs="Times New Roman"/>
          <w:i/>
          <w:iCs/>
          <w:sz w:val="22"/>
        </w:rPr>
        <w:t>4</w:t>
      </w:r>
      <w:r w:rsidRPr="005453FD">
        <w:rPr>
          <w:rFonts w:cs="Times New Roman"/>
          <w:sz w:val="22"/>
        </w:rPr>
        <w:t>(36), 1169. https://doi.org/10.21105/joss.01169</w:t>
      </w:r>
    </w:p>
    <w:p w14:paraId="1083B1C5" w14:textId="77777777" w:rsidR="005453FD" w:rsidRPr="005453FD" w:rsidRDefault="005453FD" w:rsidP="005453FD">
      <w:pPr>
        <w:pStyle w:val="Bibliografa"/>
        <w:rPr>
          <w:rFonts w:cs="Times New Roman"/>
          <w:sz w:val="22"/>
        </w:rPr>
      </w:pPr>
      <w:r w:rsidRPr="005453FD">
        <w:rPr>
          <w:rFonts w:cs="Times New Roman"/>
          <w:sz w:val="22"/>
        </w:rPr>
        <w:t xml:space="preserve">Thomas, G. W. (1982). Exchangeable Cations. En </w:t>
      </w:r>
      <w:r w:rsidRPr="005453FD">
        <w:rPr>
          <w:rFonts w:cs="Times New Roman"/>
          <w:i/>
          <w:iCs/>
          <w:sz w:val="22"/>
        </w:rPr>
        <w:t>Methods of Soil Analysis</w:t>
      </w:r>
      <w:r w:rsidRPr="005453FD">
        <w:rPr>
          <w:rFonts w:cs="Times New Roman"/>
          <w:sz w:val="22"/>
        </w:rPr>
        <w:t xml:space="preserve"> (pp. 159-165). John Wiley &amp; Sons, Ltd. https://doi.org/10.2134/agronmonogr9.2.2ed.c9</w:t>
      </w:r>
    </w:p>
    <w:p w14:paraId="274791BC" w14:textId="77777777" w:rsidR="005453FD" w:rsidRPr="005453FD" w:rsidRDefault="005453FD" w:rsidP="005453FD">
      <w:pPr>
        <w:pStyle w:val="Bibliografa"/>
        <w:rPr>
          <w:rFonts w:cs="Times New Roman"/>
          <w:sz w:val="22"/>
        </w:rPr>
      </w:pPr>
      <w:r w:rsidRPr="005453FD">
        <w:rPr>
          <w:rFonts w:cs="Times New Roman"/>
          <w:sz w:val="22"/>
        </w:rPr>
        <w:lastRenderedPageBreak/>
        <w:t xml:space="preserve">Thukkaram, D., Manoharan, M., Debnath, P., Kumari, S., Kumar, S., Mishra, M., Jha, S. K., &amp; Verma, C. L. (2025). Secondary Metabolite-Induced Osmo-Protection and Host Antioxidant Systems in Banana in Waterlogged Sodic Soils. </w:t>
      </w:r>
      <w:r w:rsidRPr="005453FD">
        <w:rPr>
          <w:rFonts w:cs="Times New Roman"/>
          <w:i/>
          <w:iCs/>
          <w:sz w:val="22"/>
        </w:rPr>
        <w:t>Horticulturae</w:t>
      </w:r>
      <w:r w:rsidRPr="005453FD">
        <w:rPr>
          <w:rFonts w:cs="Times New Roman"/>
          <w:sz w:val="22"/>
        </w:rPr>
        <w:t xml:space="preserve">, </w:t>
      </w:r>
      <w:r w:rsidRPr="005453FD">
        <w:rPr>
          <w:rFonts w:cs="Times New Roman"/>
          <w:i/>
          <w:iCs/>
          <w:sz w:val="22"/>
        </w:rPr>
        <w:t>11</w:t>
      </w:r>
      <w:r w:rsidRPr="005453FD">
        <w:rPr>
          <w:rFonts w:cs="Times New Roman"/>
          <w:sz w:val="22"/>
        </w:rPr>
        <w:t>(4), 416. https://doi.org/10.3390/horticulturae11040416</w:t>
      </w:r>
    </w:p>
    <w:p w14:paraId="7FAE917D" w14:textId="77777777" w:rsidR="005453FD" w:rsidRPr="005453FD" w:rsidRDefault="005453FD" w:rsidP="005453FD">
      <w:pPr>
        <w:pStyle w:val="Bibliografa"/>
        <w:rPr>
          <w:rFonts w:cs="Times New Roman"/>
          <w:sz w:val="22"/>
        </w:rPr>
      </w:pPr>
      <w:r w:rsidRPr="005453FD">
        <w:rPr>
          <w:rFonts w:cs="Times New Roman"/>
          <w:sz w:val="22"/>
        </w:rPr>
        <w:t xml:space="preserve">U.S. Environmental Protection Agency. (2015, diciembre 8). </w:t>
      </w:r>
      <w:r w:rsidRPr="005453FD">
        <w:rPr>
          <w:rFonts w:cs="Times New Roman"/>
          <w:i/>
          <w:iCs/>
          <w:sz w:val="22"/>
        </w:rPr>
        <w:t>SW-846 Test Method 9045D: Soil and Waste pH</w:t>
      </w:r>
      <w:r w:rsidRPr="005453FD">
        <w:rPr>
          <w:rFonts w:cs="Times New Roman"/>
          <w:sz w:val="22"/>
        </w:rPr>
        <w:t xml:space="preserve"> [Other Policies and Guidance]. https://www.epa.gov/hw-sw846/sw-846-test-method-9045d-soil-and-waste-ph</w:t>
      </w:r>
    </w:p>
    <w:p w14:paraId="67107174" w14:textId="77777777" w:rsidR="005453FD" w:rsidRPr="005453FD" w:rsidRDefault="005453FD" w:rsidP="005453FD">
      <w:pPr>
        <w:pStyle w:val="Bibliografa"/>
        <w:rPr>
          <w:rFonts w:cs="Times New Roman"/>
          <w:sz w:val="22"/>
        </w:rPr>
      </w:pPr>
      <w:r w:rsidRPr="005453FD">
        <w:rPr>
          <w:rFonts w:cs="Times New Roman"/>
          <w:sz w:val="22"/>
        </w:rPr>
        <w:t xml:space="preserve">Villaseñor-Ortiz, D., Prado, R. de M., Luna-Romero, E., Jaramillo-Aguilar, E., &amp; Agurto-Rodriguez, L. (2022). Critical nitrogen and potassium levels and sufficiency ranges for banana cultivation in Ecuador. </w:t>
      </w:r>
      <w:r w:rsidRPr="005453FD">
        <w:rPr>
          <w:rFonts w:cs="Times New Roman"/>
          <w:i/>
          <w:iCs/>
          <w:sz w:val="22"/>
        </w:rPr>
        <w:t>Fruits, The International Journal of Tropical and Subtropical Horticulture</w:t>
      </w:r>
      <w:r w:rsidRPr="005453FD">
        <w:rPr>
          <w:rFonts w:cs="Times New Roman"/>
          <w:sz w:val="22"/>
        </w:rPr>
        <w:t xml:space="preserve">, </w:t>
      </w:r>
      <w:r w:rsidRPr="005453FD">
        <w:rPr>
          <w:rFonts w:cs="Times New Roman"/>
          <w:i/>
          <w:iCs/>
          <w:sz w:val="22"/>
        </w:rPr>
        <w:t>77</w:t>
      </w:r>
      <w:r w:rsidRPr="005453FD">
        <w:rPr>
          <w:rFonts w:cs="Times New Roman"/>
          <w:sz w:val="22"/>
        </w:rPr>
        <w:t>(1). https://doi.org/10.17660/th2022/002</w:t>
      </w:r>
    </w:p>
    <w:p w14:paraId="7CDD5185" w14:textId="77777777" w:rsidR="005453FD" w:rsidRPr="005453FD" w:rsidRDefault="005453FD" w:rsidP="005453FD">
      <w:pPr>
        <w:pStyle w:val="Bibliografa"/>
        <w:rPr>
          <w:rFonts w:cs="Times New Roman"/>
          <w:sz w:val="22"/>
        </w:rPr>
      </w:pPr>
      <w:r w:rsidRPr="005453FD">
        <w:rPr>
          <w:rFonts w:cs="Times New Roman"/>
          <w:sz w:val="22"/>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RPr="005453FD">
        <w:rPr>
          <w:rFonts w:cs="Times New Roman"/>
          <w:i/>
          <w:iCs/>
          <w:sz w:val="22"/>
        </w:rPr>
        <w:t>Nature Methods</w:t>
      </w:r>
      <w:r w:rsidRPr="005453FD">
        <w:rPr>
          <w:rFonts w:cs="Times New Roman"/>
          <w:sz w:val="22"/>
        </w:rPr>
        <w:t xml:space="preserve">, </w:t>
      </w:r>
      <w:r w:rsidRPr="005453FD">
        <w:rPr>
          <w:rFonts w:cs="Times New Roman"/>
          <w:i/>
          <w:iCs/>
          <w:sz w:val="22"/>
        </w:rPr>
        <w:t>17</w:t>
      </w:r>
      <w:r w:rsidRPr="005453FD">
        <w:rPr>
          <w:rFonts w:cs="Times New Roman"/>
          <w:sz w:val="22"/>
        </w:rPr>
        <w:t>(3), 261-272. https://doi.org/10.1038/s41592-019-0686-2</w:t>
      </w:r>
    </w:p>
    <w:p w14:paraId="518D481D" w14:textId="77777777" w:rsidR="005453FD" w:rsidRPr="005453FD" w:rsidRDefault="005453FD" w:rsidP="005453FD">
      <w:pPr>
        <w:pStyle w:val="Bibliografa"/>
        <w:rPr>
          <w:rFonts w:cs="Times New Roman"/>
          <w:sz w:val="22"/>
        </w:rPr>
      </w:pPr>
      <w:r w:rsidRPr="005453FD">
        <w:rPr>
          <w:rFonts w:cs="Times New Roman"/>
          <w:sz w:val="22"/>
        </w:rPr>
        <w:t xml:space="preserve">Walkley, A., &amp; Black, I. A. (1934). AN EXAMINATION OF THE DEGTJAREFF METHOD FOR DETERMINING SOIL ORGANIC MATTER, AND A PROPOSED MODIFICATION OF THE CHROMIC ACID TITRATION METHOD. </w:t>
      </w:r>
      <w:r w:rsidRPr="005453FD">
        <w:rPr>
          <w:rFonts w:cs="Times New Roman"/>
          <w:i/>
          <w:iCs/>
          <w:sz w:val="22"/>
        </w:rPr>
        <w:t>Soil Science</w:t>
      </w:r>
      <w:r w:rsidRPr="005453FD">
        <w:rPr>
          <w:rFonts w:cs="Times New Roman"/>
          <w:sz w:val="22"/>
        </w:rPr>
        <w:t xml:space="preserve">, </w:t>
      </w:r>
      <w:r w:rsidRPr="005453FD">
        <w:rPr>
          <w:rFonts w:cs="Times New Roman"/>
          <w:i/>
          <w:iCs/>
          <w:sz w:val="22"/>
        </w:rPr>
        <w:t>37</w:t>
      </w:r>
      <w:r w:rsidRPr="005453FD">
        <w:rPr>
          <w:rFonts w:cs="Times New Roman"/>
          <w:sz w:val="22"/>
        </w:rPr>
        <w:t>(1), 29.</w:t>
      </w:r>
    </w:p>
    <w:p w14:paraId="3414507C" w14:textId="77777777" w:rsidR="005453FD" w:rsidRPr="005453FD" w:rsidRDefault="005453FD" w:rsidP="005453FD">
      <w:pPr>
        <w:pStyle w:val="Bibliografa"/>
        <w:rPr>
          <w:rFonts w:cs="Times New Roman"/>
          <w:sz w:val="22"/>
        </w:rPr>
      </w:pPr>
      <w:r w:rsidRPr="005453FD">
        <w:rPr>
          <w:rFonts w:cs="Times New Roman"/>
          <w:sz w:val="22"/>
        </w:rPr>
        <w:t xml:space="preserve">Wang, L., Wu, W., &amp; Liu, H.-B. (2019). Digital mapping of topsoil pH by random forest with residual kriging (RFRK) in a hilly region. </w:t>
      </w:r>
      <w:r w:rsidRPr="005453FD">
        <w:rPr>
          <w:rFonts w:cs="Times New Roman"/>
          <w:i/>
          <w:iCs/>
          <w:sz w:val="22"/>
        </w:rPr>
        <w:t>Soil Research</w:t>
      </w:r>
      <w:r w:rsidRPr="005453FD">
        <w:rPr>
          <w:rFonts w:cs="Times New Roman"/>
          <w:sz w:val="22"/>
        </w:rPr>
        <w:t xml:space="preserve">, </w:t>
      </w:r>
      <w:r w:rsidRPr="005453FD">
        <w:rPr>
          <w:rFonts w:cs="Times New Roman"/>
          <w:i/>
          <w:iCs/>
          <w:sz w:val="22"/>
        </w:rPr>
        <w:t>57</w:t>
      </w:r>
      <w:r w:rsidRPr="005453FD">
        <w:rPr>
          <w:rFonts w:cs="Times New Roman"/>
          <w:sz w:val="22"/>
        </w:rPr>
        <w:t>(4), 387-396. https://doi.org/10.1071/SR18319</w:t>
      </w:r>
    </w:p>
    <w:p w14:paraId="0A60779F" w14:textId="77777777" w:rsidR="005453FD" w:rsidRPr="005453FD" w:rsidRDefault="005453FD" w:rsidP="005453FD">
      <w:pPr>
        <w:pStyle w:val="Bibliografa"/>
        <w:rPr>
          <w:rFonts w:cs="Times New Roman"/>
          <w:sz w:val="22"/>
        </w:rPr>
      </w:pPr>
      <w:r w:rsidRPr="005453FD">
        <w:rPr>
          <w:rFonts w:cs="Times New Roman"/>
          <w:sz w:val="22"/>
        </w:rPr>
        <w:t xml:space="preserve">Xiao, F., &amp; Zhou, H. (2023). Plant salt response: Perception, signaling, and tolerance. </w:t>
      </w:r>
      <w:r w:rsidRPr="005453FD">
        <w:rPr>
          <w:rFonts w:cs="Times New Roman"/>
          <w:i/>
          <w:iCs/>
          <w:sz w:val="22"/>
        </w:rPr>
        <w:t>Frontiers in Plant Science</w:t>
      </w:r>
      <w:r w:rsidRPr="005453FD">
        <w:rPr>
          <w:rFonts w:cs="Times New Roman"/>
          <w:sz w:val="22"/>
        </w:rPr>
        <w:t xml:space="preserve">, </w:t>
      </w:r>
      <w:r w:rsidRPr="005453FD">
        <w:rPr>
          <w:rFonts w:cs="Times New Roman"/>
          <w:i/>
          <w:iCs/>
          <w:sz w:val="22"/>
        </w:rPr>
        <w:t>13</w:t>
      </w:r>
      <w:r w:rsidRPr="005453FD">
        <w:rPr>
          <w:rFonts w:cs="Times New Roman"/>
          <w:sz w:val="22"/>
        </w:rPr>
        <w:t>. https://doi.org/10.3389/fpls.2022.1053699</w:t>
      </w:r>
    </w:p>
    <w:p w14:paraId="31D9C8AF" w14:textId="77777777" w:rsidR="005453FD" w:rsidRPr="005453FD" w:rsidRDefault="005453FD" w:rsidP="005453FD">
      <w:pPr>
        <w:pStyle w:val="Bibliografa"/>
        <w:rPr>
          <w:rFonts w:cs="Times New Roman"/>
          <w:sz w:val="22"/>
        </w:rPr>
      </w:pPr>
      <w:r w:rsidRPr="005453FD">
        <w:rPr>
          <w:rFonts w:cs="Times New Roman"/>
          <w:sz w:val="22"/>
        </w:rPr>
        <w:t xml:space="preserve">Yin, X., Feng, Q., Li, Y., Liu, W., Zhu, M., Xu, G., Zheng, X., &amp; Sindikubwabo, C. (2021). Induced soil degradation risks and plant responses by salinity and sodicity in intensive irrigated agro-ecosystems of </w:t>
      </w:r>
      <w:r w:rsidRPr="005453FD">
        <w:rPr>
          <w:rFonts w:cs="Times New Roman"/>
          <w:sz w:val="22"/>
        </w:rPr>
        <w:lastRenderedPageBreak/>
        <w:t xml:space="preserve">seasonally-frozen arid regions. </w:t>
      </w:r>
      <w:r w:rsidRPr="005453FD">
        <w:rPr>
          <w:rFonts w:cs="Times New Roman"/>
          <w:i/>
          <w:iCs/>
          <w:sz w:val="22"/>
        </w:rPr>
        <w:t>Journal of Hydrology</w:t>
      </w:r>
      <w:r w:rsidRPr="005453FD">
        <w:rPr>
          <w:rFonts w:cs="Times New Roman"/>
          <w:sz w:val="22"/>
        </w:rPr>
        <w:t xml:space="preserve">, </w:t>
      </w:r>
      <w:r w:rsidRPr="005453FD">
        <w:rPr>
          <w:rFonts w:cs="Times New Roman"/>
          <w:i/>
          <w:iCs/>
          <w:sz w:val="22"/>
        </w:rPr>
        <w:t>603</w:t>
      </w:r>
      <w:r w:rsidRPr="005453FD">
        <w:rPr>
          <w:rFonts w:cs="Times New Roman"/>
          <w:sz w:val="22"/>
        </w:rPr>
        <w:t>, 127036. https://doi.org/10.1016/j.jhydrol.2021.127036</w:t>
      </w:r>
    </w:p>
    <w:p w14:paraId="46C61CD4" w14:textId="7F17A03A" w:rsidR="00BF791C" w:rsidRPr="005453FD" w:rsidRDefault="005453FD" w:rsidP="00BF791C">
      <w:pPr>
        <w:rPr>
          <w:rFonts w:cs="Times New Roman"/>
          <w:sz w:val="22"/>
        </w:rPr>
      </w:pPr>
      <w:r w:rsidRPr="005453FD">
        <w:rPr>
          <w:rFonts w:cs="Times New Roman"/>
          <w:sz w:val="22"/>
        </w:rPr>
        <w:fldChar w:fldCharType="end"/>
      </w:r>
      <w:bookmarkEnd w:id="40"/>
    </w:p>
    <w:sectPr w:rsidR="00BF791C" w:rsidRPr="005453FD" w:rsidSect="00D537FA">
      <w:footerReference w:type="even" r:id="rId30"/>
      <w:footerReference w:type="default" r:id="rId31"/>
      <w:pgSz w:w="12240" w:h="15840"/>
      <w:pgMar w:top="1138" w:right="1181" w:bottom="1138" w:left="1282" w:header="283" w:footer="51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6174" w14:textId="77777777" w:rsidR="00A31BA9" w:rsidRDefault="00A31BA9">
      <w:pPr>
        <w:spacing w:before="0" w:after="0" w:line="240" w:lineRule="auto"/>
      </w:pPr>
      <w:r>
        <w:separator/>
      </w:r>
    </w:p>
  </w:endnote>
  <w:endnote w:type="continuationSeparator" w:id="0">
    <w:p w14:paraId="73948750" w14:textId="77777777" w:rsidR="00A31BA9" w:rsidRDefault="00A31B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2613" w14:textId="77777777" w:rsidR="00686C9D" w:rsidRPr="00577C4C" w:rsidRDefault="00C52A7B">
    <w:pPr>
      <w:pStyle w:val="Piedepgina"/>
      <w:rPr>
        <w:color w:val="C00000"/>
        <w:szCs w:val="24"/>
      </w:rPr>
    </w:pPr>
    <w:r>
      <w:rPr>
        <w:noProof/>
        <w:lang w:val="en-GB" w:eastAsia="en-GB"/>
      </w:rPr>
      <mc:AlternateContent>
        <mc:Choice Requires="wps">
          <w:drawing>
            <wp:anchor distT="0" distB="0" distL="114300" distR="114300" simplePos="0" relativeHeight="251665408" behindDoc="0" locked="0" layoutInCell="1" allowOverlap="1" wp14:anchorId="6875F001" wp14:editId="0F854FFA">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2B0A297"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875F001" id="_x0000_t202" coordsize="21600,21600" o:spt="202" path="m,l,21600r21600,l21600,xe">
              <v:stroke joinstyle="miter"/>
              <v:path gradientshapeok="t" o:connecttype="rect"/>
            </v:shapetype>
            <v:shape id="Text Box 1" o:spid="_x0000_s1026" type="#_x0000_t202" style="position:absolute;left:0;text-align:left;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52B0A297"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CED6" w14:textId="77777777" w:rsidR="00686C9D" w:rsidRPr="00577C4C" w:rsidRDefault="00C52A7B">
    <w:pPr>
      <w:pStyle w:val="Piedepgina"/>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0859D5BB" wp14:editId="79692B57">
              <wp:simplePos x="0" y="0"/>
              <wp:positionH relativeFrom="margin">
                <wp:align>right</wp:align>
              </wp:positionH>
              <wp:positionV relativeFrom="bottomMargin">
                <wp:align>top</wp:align>
              </wp:positionV>
              <wp:extent cx="1508760" cy="395605"/>
              <wp:effectExtent l="0" t="0" r="0" b="0"/>
              <wp:wrapNone/>
              <wp:docPr id="803030845"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6BC6957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859D5BB" id="_x0000_t202" coordsize="21600,21600" o:spt="202" path="m,l,21600r21600,l21600,xe">
              <v:stroke joinstyle="miter"/>
              <v:path gradientshapeok="t" o:connecttype="rect"/>
            </v:shapetype>
            <v:shape id="Text Box 56" o:spid="_x0000_s1027" type="#_x0000_t202" style="position:absolute;left:0;text-align:left;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6BC69579" w14:textId="77777777" w:rsidR="00686C9D" w:rsidRPr="00577C4C" w:rsidRDefault="00C52A7B">
                    <w:pPr>
                      <w:pStyle w:val="Piedepgina"/>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3A79" w14:textId="77777777" w:rsidR="00A31BA9" w:rsidRDefault="00A31BA9">
      <w:pPr>
        <w:spacing w:before="0" w:after="0" w:line="240" w:lineRule="auto"/>
      </w:pPr>
      <w:r>
        <w:separator/>
      </w:r>
    </w:p>
  </w:footnote>
  <w:footnote w:type="continuationSeparator" w:id="0">
    <w:p w14:paraId="595FDD9D" w14:textId="77777777" w:rsidR="00A31BA9" w:rsidRDefault="00A31BA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16FB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94C3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C0601A"/>
    <w:multiLevelType w:val="multilevel"/>
    <w:tmpl w:val="C6A8CCEA"/>
    <w:styleLink w:val="Headings"/>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567"/>
        </w:tabs>
        <w:ind w:left="567" w:hanging="567"/>
      </w:pPr>
      <w:rPr>
        <w:rFonts w:hint="default"/>
      </w:rPr>
    </w:lvl>
    <w:lvl w:ilvl="4">
      <w:start w:val="1"/>
      <w:numFmt w:val="decimal"/>
      <w:pStyle w:val="Ttulo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6" w15:restartNumberingAfterBreak="0">
    <w:nsid w:val="225305B5"/>
    <w:multiLevelType w:val="hybridMultilevel"/>
    <w:tmpl w:val="4F8C24FA"/>
    <w:lvl w:ilvl="0" w:tplc="A9DCD718">
      <w:start w:val="1"/>
      <w:numFmt w:val="bullet"/>
      <w:pStyle w:val="Prrafodelist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02A7CAC"/>
    <w:multiLevelType w:val="multilevel"/>
    <w:tmpl w:val="C6A8CCEA"/>
    <w:numStyleLink w:val="Headings"/>
  </w:abstractNum>
  <w:abstractNum w:abstractNumId="8"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C6F29"/>
    <w:multiLevelType w:val="multilevel"/>
    <w:tmpl w:val="C6A8CCEA"/>
    <w:numStyleLink w:val="Headings"/>
  </w:abstractNum>
  <w:abstractNum w:abstractNumId="19"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148494">
    <w:abstractNumId w:val="2"/>
  </w:num>
  <w:num w:numId="2" w16cid:durableId="1175342395">
    <w:abstractNumId w:val="15"/>
  </w:num>
  <w:num w:numId="3" w16cid:durableId="1144352800">
    <w:abstractNumId w:val="3"/>
  </w:num>
  <w:num w:numId="4" w16cid:durableId="769737119">
    <w:abstractNumId w:val="17"/>
  </w:num>
  <w:num w:numId="5" w16cid:durableId="170166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534203">
    <w:abstractNumId w:val="12"/>
  </w:num>
  <w:num w:numId="7" w16cid:durableId="773479634">
    <w:abstractNumId w:val="10"/>
  </w:num>
  <w:num w:numId="8" w16cid:durableId="2072000685">
    <w:abstractNumId w:val="8"/>
  </w:num>
  <w:num w:numId="9" w16cid:durableId="1213807494">
    <w:abstractNumId w:val="11"/>
  </w:num>
  <w:num w:numId="10" w16cid:durableId="308825289">
    <w:abstractNumId w:val="9"/>
  </w:num>
  <w:num w:numId="11" w16cid:durableId="372848954">
    <w:abstractNumId w:val="4"/>
  </w:num>
  <w:num w:numId="12" w16cid:durableId="213006365">
    <w:abstractNumId w:val="19"/>
  </w:num>
  <w:num w:numId="13" w16cid:durableId="1411196366">
    <w:abstractNumId w:val="14"/>
  </w:num>
  <w:num w:numId="14" w16cid:durableId="944966812">
    <w:abstractNumId w:val="6"/>
  </w:num>
  <w:num w:numId="15" w16cid:durableId="1662200756">
    <w:abstractNumId w:val="13"/>
  </w:num>
  <w:num w:numId="16" w16cid:durableId="2141485750">
    <w:abstractNumId w:val="16"/>
  </w:num>
  <w:num w:numId="17" w16cid:durableId="2002923295">
    <w:abstractNumId w:val="5"/>
    <w:lvlOverride w:ilvl="0">
      <w:lvl w:ilvl="0">
        <w:start w:val="1"/>
        <w:numFmt w:val="decimal"/>
        <w:pStyle w:val="Ttulo1"/>
        <w:lvlText w:val="%1"/>
        <w:lvlJc w:val="left"/>
        <w:pPr>
          <w:tabs>
            <w:tab w:val="num" w:pos="567"/>
          </w:tabs>
          <w:ind w:left="567" w:hanging="567"/>
        </w:pPr>
        <w:rPr>
          <w:rFonts w:hint="default"/>
        </w:rPr>
      </w:lvl>
    </w:lvlOverride>
    <w:lvlOverride w:ilvl="1">
      <w:lvl w:ilvl="1">
        <w:start w:val="1"/>
        <w:numFmt w:val="decimal"/>
        <w:pStyle w:val="Ttulo2"/>
        <w:lvlText w:val="%1.%2"/>
        <w:lvlJc w:val="left"/>
        <w:pPr>
          <w:tabs>
            <w:tab w:val="num" w:pos="567"/>
          </w:tabs>
          <w:ind w:left="567" w:hanging="567"/>
        </w:pPr>
        <w:rPr>
          <w:rFonts w:hint="default"/>
        </w:rPr>
      </w:lvl>
    </w:lvlOverride>
  </w:num>
  <w:num w:numId="18" w16cid:durableId="1300527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4516991">
    <w:abstractNumId w:val="7"/>
  </w:num>
  <w:num w:numId="20" w16cid:durableId="58940097">
    <w:abstractNumId w:val="18"/>
  </w:num>
  <w:num w:numId="21" w16cid:durableId="490292411">
    <w:abstractNumId w:val="5"/>
  </w:num>
  <w:num w:numId="22" w16cid:durableId="1120419941">
    <w:abstractNumId w:val="5"/>
    <w:lvlOverride w:ilvl="0">
      <w:startOverride w:val="1"/>
      <w:lvl w:ilvl="0">
        <w:start w:val="1"/>
        <w:numFmt w:val="decimal"/>
        <w:pStyle w:val="Ttulo1"/>
        <w:lvlText w:val="%1"/>
        <w:lvlJc w:val="left"/>
        <w:pPr>
          <w:tabs>
            <w:tab w:val="num" w:pos="567"/>
          </w:tabs>
          <w:ind w:left="567" w:hanging="567"/>
        </w:pPr>
      </w:lvl>
    </w:lvlOverride>
    <w:lvlOverride w:ilvl="1">
      <w:startOverride w:val="1"/>
      <w:lvl w:ilvl="1">
        <w:start w:val="1"/>
        <w:numFmt w:val="decimal"/>
        <w:pStyle w:val="Ttulo2"/>
        <w:lvlText w:val="%1.%2"/>
        <w:lvlJc w:val="left"/>
        <w:pPr>
          <w:tabs>
            <w:tab w:val="num" w:pos="567"/>
          </w:tabs>
          <w:ind w:left="567" w:hanging="567"/>
        </w:pPr>
      </w:lvl>
    </w:lvlOverride>
    <w:lvlOverride w:ilvl="2">
      <w:startOverride w:val="1"/>
      <w:lvl w:ilvl="2">
        <w:start w:val="1"/>
        <w:numFmt w:val="decimal"/>
        <w:pStyle w:val="Ttulo3"/>
        <w:lvlText w:val=""/>
        <w:lvlJc w:val="left"/>
      </w:lvl>
    </w:lvlOverride>
    <w:lvlOverride w:ilvl="3">
      <w:startOverride w:val="1"/>
      <w:lvl w:ilvl="3">
        <w:start w:val="1"/>
        <w:numFmt w:val="decimal"/>
        <w:pStyle w:val="Ttulo4"/>
        <w:lvlText w:val=""/>
        <w:lvlJc w:val="left"/>
      </w:lvl>
    </w:lvlOverride>
    <w:lvlOverride w:ilvl="4">
      <w:startOverride w:val="1"/>
      <w:lvl w:ilvl="4">
        <w:start w:val="1"/>
        <w:numFmt w:val="decimal"/>
        <w:pStyle w:val="Ttulo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850218004">
    <w:abstractNumId w:val="0"/>
  </w:num>
  <w:num w:numId="24" w16cid:durableId="1308969482">
    <w:abstractNumId w:val="0"/>
  </w:num>
  <w:num w:numId="25" w16cid:durableId="457920663">
    <w:abstractNumId w:val="0"/>
  </w:num>
  <w:num w:numId="26" w16cid:durableId="952515972">
    <w:abstractNumId w:val="0"/>
  </w:num>
  <w:num w:numId="27" w16cid:durableId="324819603">
    <w:abstractNumId w:val="0"/>
  </w:num>
  <w:num w:numId="28" w16cid:durableId="1829858833">
    <w:abstractNumId w:val="0"/>
  </w:num>
  <w:num w:numId="29" w16cid:durableId="148381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2A75"/>
    <w:rsid w:val="00015D7B"/>
    <w:rsid w:val="0002273A"/>
    <w:rsid w:val="00031200"/>
    <w:rsid w:val="00034304"/>
    <w:rsid w:val="00035434"/>
    <w:rsid w:val="00045678"/>
    <w:rsid w:val="000458E4"/>
    <w:rsid w:val="00063D84"/>
    <w:rsid w:val="0006636D"/>
    <w:rsid w:val="00077D53"/>
    <w:rsid w:val="00081394"/>
    <w:rsid w:val="00092015"/>
    <w:rsid w:val="000B249C"/>
    <w:rsid w:val="000B34BD"/>
    <w:rsid w:val="000C7E2A"/>
    <w:rsid w:val="000D13CD"/>
    <w:rsid w:val="000D5D17"/>
    <w:rsid w:val="000F4CFB"/>
    <w:rsid w:val="00117666"/>
    <w:rsid w:val="00121106"/>
    <w:rsid w:val="0012195B"/>
    <w:rsid w:val="001223A7"/>
    <w:rsid w:val="00134256"/>
    <w:rsid w:val="0014150F"/>
    <w:rsid w:val="00147395"/>
    <w:rsid w:val="00152161"/>
    <w:rsid w:val="001552C9"/>
    <w:rsid w:val="00164B72"/>
    <w:rsid w:val="00176D89"/>
    <w:rsid w:val="00177D84"/>
    <w:rsid w:val="001827CA"/>
    <w:rsid w:val="001964EF"/>
    <w:rsid w:val="001B1A2C"/>
    <w:rsid w:val="001D5C23"/>
    <w:rsid w:val="001E28C5"/>
    <w:rsid w:val="001E4F08"/>
    <w:rsid w:val="001F020B"/>
    <w:rsid w:val="001F4C07"/>
    <w:rsid w:val="00206322"/>
    <w:rsid w:val="00217BA1"/>
    <w:rsid w:val="00220AEA"/>
    <w:rsid w:val="00226954"/>
    <w:rsid w:val="00234470"/>
    <w:rsid w:val="002368CB"/>
    <w:rsid w:val="0025641A"/>
    <w:rsid w:val="002629A3"/>
    <w:rsid w:val="00265660"/>
    <w:rsid w:val="002677A0"/>
    <w:rsid w:val="00267D18"/>
    <w:rsid w:val="00271394"/>
    <w:rsid w:val="002868E2"/>
    <w:rsid w:val="002869C3"/>
    <w:rsid w:val="002936E4"/>
    <w:rsid w:val="00296B88"/>
    <w:rsid w:val="002A260D"/>
    <w:rsid w:val="002C74CA"/>
    <w:rsid w:val="002F5F07"/>
    <w:rsid w:val="002F744D"/>
    <w:rsid w:val="00303DE6"/>
    <w:rsid w:val="00310124"/>
    <w:rsid w:val="003114BA"/>
    <w:rsid w:val="00322306"/>
    <w:rsid w:val="00334D59"/>
    <w:rsid w:val="0033758E"/>
    <w:rsid w:val="003544FB"/>
    <w:rsid w:val="00365D63"/>
    <w:rsid w:val="0036793B"/>
    <w:rsid w:val="00370838"/>
    <w:rsid w:val="00371700"/>
    <w:rsid w:val="00372682"/>
    <w:rsid w:val="00376CC5"/>
    <w:rsid w:val="00382A8A"/>
    <w:rsid w:val="0039693B"/>
    <w:rsid w:val="00397B1C"/>
    <w:rsid w:val="003A276D"/>
    <w:rsid w:val="003A4DCF"/>
    <w:rsid w:val="003B3C40"/>
    <w:rsid w:val="003B41E9"/>
    <w:rsid w:val="003D2F2D"/>
    <w:rsid w:val="003D6EC3"/>
    <w:rsid w:val="00401590"/>
    <w:rsid w:val="004228F8"/>
    <w:rsid w:val="00427376"/>
    <w:rsid w:val="00446E4C"/>
    <w:rsid w:val="00460163"/>
    <w:rsid w:val="00463E3D"/>
    <w:rsid w:val="004645AE"/>
    <w:rsid w:val="00487B71"/>
    <w:rsid w:val="004A4B65"/>
    <w:rsid w:val="004B1B3C"/>
    <w:rsid w:val="004D3E33"/>
    <w:rsid w:val="00510770"/>
    <w:rsid w:val="0052252B"/>
    <w:rsid w:val="0052279A"/>
    <w:rsid w:val="005250F2"/>
    <w:rsid w:val="00532C5D"/>
    <w:rsid w:val="0053326C"/>
    <w:rsid w:val="005453FD"/>
    <w:rsid w:val="00567061"/>
    <w:rsid w:val="00567092"/>
    <w:rsid w:val="00593B1C"/>
    <w:rsid w:val="005A1D84"/>
    <w:rsid w:val="005A70EA"/>
    <w:rsid w:val="005B24A4"/>
    <w:rsid w:val="005C3963"/>
    <w:rsid w:val="005D1840"/>
    <w:rsid w:val="005D354E"/>
    <w:rsid w:val="005D35E4"/>
    <w:rsid w:val="005D62A7"/>
    <w:rsid w:val="005D6369"/>
    <w:rsid w:val="005D7910"/>
    <w:rsid w:val="006006DE"/>
    <w:rsid w:val="00614C68"/>
    <w:rsid w:val="0062154F"/>
    <w:rsid w:val="00626026"/>
    <w:rsid w:val="00631A8C"/>
    <w:rsid w:val="00651CA2"/>
    <w:rsid w:val="00653D60"/>
    <w:rsid w:val="00660D05"/>
    <w:rsid w:val="00671D9A"/>
    <w:rsid w:val="00673952"/>
    <w:rsid w:val="00686129"/>
    <w:rsid w:val="00686C9D"/>
    <w:rsid w:val="006B2D5B"/>
    <w:rsid w:val="006B3E02"/>
    <w:rsid w:val="006B7D14"/>
    <w:rsid w:val="006C186D"/>
    <w:rsid w:val="006D5B93"/>
    <w:rsid w:val="006E18DE"/>
    <w:rsid w:val="006E54C5"/>
    <w:rsid w:val="006E7EED"/>
    <w:rsid w:val="0070209F"/>
    <w:rsid w:val="00725A7D"/>
    <w:rsid w:val="00727093"/>
    <w:rsid w:val="0073085C"/>
    <w:rsid w:val="00745DF0"/>
    <w:rsid w:val="00746505"/>
    <w:rsid w:val="00747D8B"/>
    <w:rsid w:val="00752FD1"/>
    <w:rsid w:val="00756F17"/>
    <w:rsid w:val="007730BB"/>
    <w:rsid w:val="007751D9"/>
    <w:rsid w:val="00790BB3"/>
    <w:rsid w:val="00792043"/>
    <w:rsid w:val="00797EDD"/>
    <w:rsid w:val="007B0322"/>
    <w:rsid w:val="007B1DCD"/>
    <w:rsid w:val="007B49E5"/>
    <w:rsid w:val="007B729D"/>
    <w:rsid w:val="007C0E3F"/>
    <w:rsid w:val="007C206C"/>
    <w:rsid w:val="007C32A8"/>
    <w:rsid w:val="007C3608"/>
    <w:rsid w:val="007C5729"/>
    <w:rsid w:val="007D414D"/>
    <w:rsid w:val="007D5585"/>
    <w:rsid w:val="007D6A26"/>
    <w:rsid w:val="008111E4"/>
    <w:rsid w:val="00812345"/>
    <w:rsid w:val="0081301C"/>
    <w:rsid w:val="00817DD6"/>
    <w:rsid w:val="008629A9"/>
    <w:rsid w:val="0088330C"/>
    <w:rsid w:val="0088513A"/>
    <w:rsid w:val="00893C19"/>
    <w:rsid w:val="00895308"/>
    <w:rsid w:val="00895706"/>
    <w:rsid w:val="008A0240"/>
    <w:rsid w:val="008C0A74"/>
    <w:rsid w:val="008D6C8D"/>
    <w:rsid w:val="008E0310"/>
    <w:rsid w:val="008E2B54"/>
    <w:rsid w:val="008E4404"/>
    <w:rsid w:val="008E58C7"/>
    <w:rsid w:val="008E781D"/>
    <w:rsid w:val="008F5021"/>
    <w:rsid w:val="009027F7"/>
    <w:rsid w:val="009106F8"/>
    <w:rsid w:val="00911843"/>
    <w:rsid w:val="0093239F"/>
    <w:rsid w:val="00934696"/>
    <w:rsid w:val="00943573"/>
    <w:rsid w:val="00963D21"/>
    <w:rsid w:val="00971B61"/>
    <w:rsid w:val="00980C31"/>
    <w:rsid w:val="009955FF"/>
    <w:rsid w:val="009D259D"/>
    <w:rsid w:val="00A00487"/>
    <w:rsid w:val="00A164BD"/>
    <w:rsid w:val="00A31BA9"/>
    <w:rsid w:val="00A353B4"/>
    <w:rsid w:val="00A42361"/>
    <w:rsid w:val="00A50D9D"/>
    <w:rsid w:val="00A53000"/>
    <w:rsid w:val="00A545C6"/>
    <w:rsid w:val="00A75F87"/>
    <w:rsid w:val="00A90529"/>
    <w:rsid w:val="00A95D8B"/>
    <w:rsid w:val="00AA3767"/>
    <w:rsid w:val="00AA3AD0"/>
    <w:rsid w:val="00AB386B"/>
    <w:rsid w:val="00AC0270"/>
    <w:rsid w:val="00AC23B3"/>
    <w:rsid w:val="00AC3EA3"/>
    <w:rsid w:val="00AC573C"/>
    <w:rsid w:val="00AC792D"/>
    <w:rsid w:val="00AD1D7D"/>
    <w:rsid w:val="00AF223D"/>
    <w:rsid w:val="00B24A0D"/>
    <w:rsid w:val="00B35DFF"/>
    <w:rsid w:val="00B44C7F"/>
    <w:rsid w:val="00B475F8"/>
    <w:rsid w:val="00B5675C"/>
    <w:rsid w:val="00B657B8"/>
    <w:rsid w:val="00B84920"/>
    <w:rsid w:val="00B8556A"/>
    <w:rsid w:val="00B87DB8"/>
    <w:rsid w:val="00B9430E"/>
    <w:rsid w:val="00BB41CE"/>
    <w:rsid w:val="00BB6949"/>
    <w:rsid w:val="00BF437B"/>
    <w:rsid w:val="00BF791C"/>
    <w:rsid w:val="00C00930"/>
    <w:rsid w:val="00C012A3"/>
    <w:rsid w:val="00C16F19"/>
    <w:rsid w:val="00C30EB1"/>
    <w:rsid w:val="00C36E1C"/>
    <w:rsid w:val="00C52A7B"/>
    <w:rsid w:val="00C6324C"/>
    <w:rsid w:val="00C679AA"/>
    <w:rsid w:val="00C724CF"/>
    <w:rsid w:val="00C73927"/>
    <w:rsid w:val="00C75972"/>
    <w:rsid w:val="00C82792"/>
    <w:rsid w:val="00C92BB8"/>
    <w:rsid w:val="00C945FE"/>
    <w:rsid w:val="00C948FD"/>
    <w:rsid w:val="00C9712A"/>
    <w:rsid w:val="00CB2220"/>
    <w:rsid w:val="00CB43D5"/>
    <w:rsid w:val="00CC76F9"/>
    <w:rsid w:val="00CD066B"/>
    <w:rsid w:val="00CD1669"/>
    <w:rsid w:val="00CD3ECE"/>
    <w:rsid w:val="00CD46E2"/>
    <w:rsid w:val="00D00D0B"/>
    <w:rsid w:val="00D04B69"/>
    <w:rsid w:val="00D17FBC"/>
    <w:rsid w:val="00D40420"/>
    <w:rsid w:val="00D410D9"/>
    <w:rsid w:val="00D537FA"/>
    <w:rsid w:val="00D80D99"/>
    <w:rsid w:val="00D9503C"/>
    <w:rsid w:val="00DD73EF"/>
    <w:rsid w:val="00DE23E8"/>
    <w:rsid w:val="00DF187F"/>
    <w:rsid w:val="00E0128B"/>
    <w:rsid w:val="00E11C78"/>
    <w:rsid w:val="00E1292A"/>
    <w:rsid w:val="00E2680C"/>
    <w:rsid w:val="00E41C06"/>
    <w:rsid w:val="00E64E17"/>
    <w:rsid w:val="00E704C5"/>
    <w:rsid w:val="00E81C49"/>
    <w:rsid w:val="00E852EA"/>
    <w:rsid w:val="00EA3D3C"/>
    <w:rsid w:val="00EC7CC3"/>
    <w:rsid w:val="00ED4948"/>
    <w:rsid w:val="00F05CE9"/>
    <w:rsid w:val="00F22D16"/>
    <w:rsid w:val="00F254A4"/>
    <w:rsid w:val="00F401FF"/>
    <w:rsid w:val="00F46494"/>
    <w:rsid w:val="00F558AB"/>
    <w:rsid w:val="00F61D89"/>
    <w:rsid w:val="00F641DE"/>
    <w:rsid w:val="00F80C71"/>
    <w:rsid w:val="00F86ABB"/>
    <w:rsid w:val="00F87E76"/>
    <w:rsid w:val="00F92EEE"/>
    <w:rsid w:val="00F97039"/>
    <w:rsid w:val="00FB5230"/>
    <w:rsid w:val="00FC5AA8"/>
    <w:rsid w:val="00FD7648"/>
    <w:rsid w:val="00FE2770"/>
    <w:rsid w:val="00FF2A26"/>
    <w:rsid w:val="00FF6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2D187"/>
  <w15:docId w15:val="{AAACBC40-80A0-4BD5-A1AE-0B566853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0E"/>
    <w:pPr>
      <w:spacing w:before="120" w:after="240" w:line="360" w:lineRule="auto"/>
      <w:jc w:val="both"/>
    </w:pPr>
    <w:rPr>
      <w:rFonts w:ascii="Times New Roman" w:hAnsi="Times New Roman"/>
      <w:sz w:val="24"/>
    </w:rPr>
  </w:style>
  <w:style w:type="paragraph" w:styleId="Ttulo1">
    <w:name w:val="heading 1"/>
    <w:basedOn w:val="Prrafodelista"/>
    <w:next w:val="Normal"/>
    <w:link w:val="Ttulo1Car"/>
    <w:uiPriority w:val="2"/>
    <w:qFormat/>
    <w:rsid w:val="00B9430E"/>
    <w:pPr>
      <w:pageBreakBefore/>
      <w:numPr>
        <w:numId w:val="17"/>
      </w:numPr>
      <w:spacing w:before="240"/>
      <w:contextualSpacing w:val="0"/>
      <w:outlineLvl w:val="0"/>
    </w:pPr>
    <w:rPr>
      <w:b/>
    </w:rPr>
  </w:style>
  <w:style w:type="paragraph" w:styleId="Ttulo2">
    <w:name w:val="heading 2"/>
    <w:basedOn w:val="Ttulo1"/>
    <w:next w:val="Normal"/>
    <w:link w:val="Ttulo2Car"/>
    <w:uiPriority w:val="2"/>
    <w:qFormat/>
    <w:rsid w:val="00B9430E"/>
    <w:pPr>
      <w:pageBreakBefore w:val="0"/>
      <w:numPr>
        <w:ilvl w:val="1"/>
      </w:numPr>
      <w:spacing w:after="200"/>
      <w:outlineLvl w:val="1"/>
    </w:pPr>
  </w:style>
  <w:style w:type="paragraph" w:styleId="Ttulo3">
    <w:name w:val="heading 3"/>
    <w:basedOn w:val="Normal"/>
    <w:next w:val="Normal"/>
    <w:link w:val="Ttulo3Car"/>
    <w:uiPriority w:val="2"/>
    <w:qFormat/>
    <w:rsid w:val="00D80D99"/>
    <w:pPr>
      <w:keepNext/>
      <w:keepLines/>
      <w:numPr>
        <w:ilvl w:val="2"/>
        <w:numId w:val="17"/>
      </w:numPr>
      <w:spacing w:before="40" w:after="120"/>
      <w:outlineLvl w:val="2"/>
    </w:pPr>
    <w:rPr>
      <w:rFonts w:eastAsiaTheme="majorEastAsia" w:cstheme="majorBidi"/>
      <w:b/>
      <w:szCs w:val="24"/>
    </w:rPr>
  </w:style>
  <w:style w:type="paragraph" w:styleId="Ttulo4">
    <w:name w:val="heading 4"/>
    <w:basedOn w:val="Ttulo3"/>
    <w:next w:val="Normal"/>
    <w:link w:val="Ttulo4Car"/>
    <w:uiPriority w:val="2"/>
    <w:qFormat/>
    <w:rsid w:val="00D80D99"/>
    <w:pPr>
      <w:numPr>
        <w:ilvl w:val="3"/>
      </w:numPr>
      <w:outlineLvl w:val="3"/>
    </w:pPr>
    <w:rPr>
      <w:iCs/>
    </w:rPr>
  </w:style>
  <w:style w:type="paragraph" w:styleId="Ttulo5">
    <w:name w:val="heading 5"/>
    <w:basedOn w:val="Ttulo4"/>
    <w:next w:val="Normal"/>
    <w:link w:val="Ttulo5Car"/>
    <w:uiPriority w:val="2"/>
    <w:qFormat/>
    <w:rsid w:val="00D80D99"/>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B9430E"/>
    <w:rPr>
      <w:rFonts w:ascii="Times New Roman" w:eastAsia="Cambria" w:hAnsi="Times New Roman" w:cs="Times New Roman"/>
      <w:b/>
      <w:sz w:val="24"/>
      <w:szCs w:val="24"/>
    </w:rPr>
  </w:style>
  <w:style w:type="character" w:customStyle="1" w:styleId="Ttulo2Car">
    <w:name w:val="Título 2 Car"/>
    <w:basedOn w:val="Fuentedeprrafopredeter"/>
    <w:link w:val="Ttulo2"/>
    <w:uiPriority w:val="2"/>
    <w:rsid w:val="00B9430E"/>
    <w:rPr>
      <w:rFonts w:ascii="Times New Roman" w:eastAsia="Cambria" w:hAnsi="Times New Roman" w:cs="Times New Roman"/>
      <w:b/>
      <w:sz w:val="24"/>
      <w:szCs w:val="24"/>
    </w:rPr>
  </w:style>
  <w:style w:type="character" w:styleId="nfasis">
    <w:name w:val="Emphasis"/>
    <w:basedOn w:val="Fuentedeprrafopredeter"/>
    <w:uiPriority w:val="20"/>
    <w:qFormat/>
    <w:rsid w:val="00C724CF"/>
    <w:rPr>
      <w:rFonts w:ascii="Times New Roman" w:hAnsi="Times New Roman"/>
      <w:i/>
      <w:iCs/>
    </w:rPr>
  </w:style>
  <w:style w:type="paragraph" w:styleId="Prrafodelista">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Textoennegrita">
    <w:name w:val="Strong"/>
    <w:basedOn w:val="Fuentedeprrafopredeter"/>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Encabezado">
    <w:name w:val="header"/>
    <w:basedOn w:val="Normal"/>
    <w:link w:val="EncabezadoCar"/>
    <w:uiPriority w:val="99"/>
    <w:unhideWhenUsed/>
    <w:rsid w:val="00A53000"/>
    <w:pPr>
      <w:tabs>
        <w:tab w:val="center" w:pos="4844"/>
        <w:tab w:val="right" w:pos="9689"/>
      </w:tabs>
    </w:pPr>
    <w:rPr>
      <w:b/>
    </w:rPr>
  </w:style>
  <w:style w:type="character" w:customStyle="1" w:styleId="EncabezadoCar">
    <w:name w:val="Encabezado Car"/>
    <w:basedOn w:val="Fuentedeprrafopredeter"/>
    <w:link w:val="Encabezado"/>
    <w:uiPriority w:val="99"/>
    <w:rsid w:val="00A53000"/>
    <w:rPr>
      <w:rFonts w:ascii="Times New Roman" w:hAnsi="Times New Roman"/>
      <w:b/>
      <w:sz w:val="24"/>
    </w:rPr>
  </w:style>
  <w:style w:type="paragraph" w:styleId="Piedepgina">
    <w:name w:val="footer"/>
    <w:basedOn w:val="Normal"/>
    <w:link w:val="PiedepginaCar"/>
    <w:uiPriority w:val="99"/>
    <w:unhideWhenUsed/>
    <w:rsid w:val="00117666"/>
    <w:pPr>
      <w:tabs>
        <w:tab w:val="center" w:pos="4844"/>
        <w:tab w:val="right" w:pos="9689"/>
      </w:tabs>
      <w:spacing w:after="0"/>
    </w:pPr>
  </w:style>
  <w:style w:type="character" w:customStyle="1" w:styleId="PiedepginaCar">
    <w:name w:val="Pie de página Car"/>
    <w:basedOn w:val="Fuentedeprrafopredeter"/>
    <w:link w:val="Piedepgina"/>
    <w:uiPriority w:val="99"/>
    <w:rsid w:val="00117666"/>
  </w:style>
  <w:style w:type="table" w:styleId="Tablaconcuadrcula">
    <w:name w:val="Table Grid"/>
    <w:basedOn w:val="Tabla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7666"/>
    <w:pPr>
      <w:spacing w:after="0"/>
    </w:pPr>
    <w:rPr>
      <w:sz w:val="20"/>
      <w:szCs w:val="20"/>
    </w:rPr>
  </w:style>
  <w:style w:type="character" w:customStyle="1" w:styleId="TextonotapieCar">
    <w:name w:val="Texto nota pie Car"/>
    <w:basedOn w:val="Fuentedeprrafopredeter"/>
    <w:link w:val="Textonotapie"/>
    <w:uiPriority w:val="99"/>
    <w:semiHidden/>
    <w:rsid w:val="00117666"/>
    <w:rPr>
      <w:sz w:val="20"/>
      <w:szCs w:val="20"/>
    </w:rPr>
  </w:style>
  <w:style w:type="character" w:styleId="Refdenotaalpie">
    <w:name w:val="footnote reference"/>
    <w:basedOn w:val="Fuentedeprrafopredeter"/>
    <w:uiPriority w:val="99"/>
    <w:semiHidden/>
    <w:unhideWhenUsed/>
    <w:rsid w:val="00117666"/>
    <w:rPr>
      <w:vertAlign w:val="superscript"/>
    </w:rPr>
  </w:style>
  <w:style w:type="paragraph" w:styleId="Descripcin">
    <w:name w:val="caption"/>
    <w:basedOn w:val="Normal"/>
    <w:next w:val="Sinespaciado"/>
    <w:uiPriority w:val="35"/>
    <w:unhideWhenUsed/>
    <w:qFormat/>
    <w:rsid w:val="00A53000"/>
    <w:pPr>
      <w:keepNext/>
    </w:pPr>
    <w:rPr>
      <w:rFonts w:cs="Times New Roman"/>
      <w:b/>
      <w:bCs/>
      <w:szCs w:val="24"/>
    </w:rPr>
  </w:style>
  <w:style w:type="paragraph" w:styleId="Textodeglobo">
    <w:name w:val="Balloon Text"/>
    <w:basedOn w:val="Normal"/>
    <w:link w:val="TextodegloboCar"/>
    <w:uiPriority w:val="99"/>
    <w:semiHidden/>
    <w:unhideWhenUsed/>
    <w:rsid w:val="0011766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17666"/>
    <w:rPr>
      <w:rFonts w:ascii="Tahoma" w:hAnsi="Tahoma" w:cs="Tahoma"/>
      <w:sz w:val="16"/>
      <w:szCs w:val="16"/>
    </w:rPr>
  </w:style>
  <w:style w:type="character" w:styleId="Nmerodelnea">
    <w:name w:val="line number"/>
    <w:basedOn w:val="Fuentedeprrafopredeter"/>
    <w:uiPriority w:val="99"/>
    <w:semiHidden/>
    <w:unhideWhenUsed/>
    <w:rsid w:val="00117666"/>
  </w:style>
  <w:style w:type="paragraph" w:styleId="Textonotaalfinal">
    <w:name w:val="endnote text"/>
    <w:basedOn w:val="Normal"/>
    <w:link w:val="TextonotaalfinalCar"/>
    <w:uiPriority w:val="99"/>
    <w:semiHidden/>
    <w:unhideWhenUsed/>
    <w:rsid w:val="00CD066B"/>
    <w:pPr>
      <w:spacing w:after="0"/>
    </w:pPr>
    <w:rPr>
      <w:sz w:val="20"/>
      <w:szCs w:val="20"/>
    </w:rPr>
  </w:style>
  <w:style w:type="character" w:customStyle="1" w:styleId="TextonotaalfinalCar">
    <w:name w:val="Texto nota al final Car"/>
    <w:basedOn w:val="Fuentedeprrafopredeter"/>
    <w:link w:val="Textonotaalfinal"/>
    <w:uiPriority w:val="99"/>
    <w:semiHidden/>
    <w:rsid w:val="00CD066B"/>
    <w:rPr>
      <w:sz w:val="20"/>
      <w:szCs w:val="20"/>
    </w:rPr>
  </w:style>
  <w:style w:type="character" w:styleId="Refdenotaalfinal">
    <w:name w:val="endnote reference"/>
    <w:basedOn w:val="Fuentedeprrafopredeter"/>
    <w:uiPriority w:val="99"/>
    <w:semiHidden/>
    <w:unhideWhenUsed/>
    <w:rsid w:val="00CD066B"/>
    <w:rPr>
      <w:vertAlign w:val="superscript"/>
    </w:rPr>
  </w:style>
  <w:style w:type="character" w:styleId="Refdecomentario">
    <w:name w:val="annotation reference"/>
    <w:basedOn w:val="Fuentedeprrafopredeter"/>
    <w:uiPriority w:val="99"/>
    <w:semiHidden/>
    <w:unhideWhenUsed/>
    <w:rsid w:val="00725A7D"/>
    <w:rPr>
      <w:sz w:val="16"/>
      <w:szCs w:val="16"/>
    </w:rPr>
  </w:style>
  <w:style w:type="paragraph" w:styleId="Textocomentario">
    <w:name w:val="annotation text"/>
    <w:basedOn w:val="Normal"/>
    <w:link w:val="TextocomentarioCar"/>
    <w:uiPriority w:val="99"/>
    <w:semiHidden/>
    <w:unhideWhenUsed/>
    <w:rsid w:val="00725A7D"/>
    <w:rPr>
      <w:sz w:val="20"/>
      <w:szCs w:val="20"/>
    </w:rPr>
  </w:style>
  <w:style w:type="character" w:customStyle="1" w:styleId="TextocomentarioCar">
    <w:name w:val="Texto comentario Car"/>
    <w:basedOn w:val="Fuentedeprrafopredeter"/>
    <w:link w:val="Textocomentario"/>
    <w:uiPriority w:val="99"/>
    <w:semiHidden/>
    <w:rsid w:val="00725A7D"/>
    <w:rPr>
      <w:sz w:val="20"/>
      <w:szCs w:val="20"/>
    </w:rPr>
  </w:style>
  <w:style w:type="paragraph" w:styleId="Asuntodelcomentario">
    <w:name w:val="annotation subject"/>
    <w:basedOn w:val="Textocomentario"/>
    <w:next w:val="Textocomentario"/>
    <w:link w:val="AsuntodelcomentarioCar"/>
    <w:uiPriority w:val="99"/>
    <w:semiHidden/>
    <w:unhideWhenUsed/>
    <w:rsid w:val="00725A7D"/>
    <w:rPr>
      <w:b/>
      <w:bCs/>
    </w:rPr>
  </w:style>
  <w:style w:type="character" w:customStyle="1" w:styleId="AsuntodelcomentarioCar">
    <w:name w:val="Asunto del comentario Car"/>
    <w:basedOn w:val="TextocomentarioCar"/>
    <w:link w:val="Asuntodelcomentario"/>
    <w:uiPriority w:val="99"/>
    <w:semiHidden/>
    <w:rsid w:val="00725A7D"/>
    <w:rPr>
      <w:b/>
      <w:bCs/>
      <w:sz w:val="20"/>
      <w:szCs w:val="20"/>
    </w:rPr>
  </w:style>
  <w:style w:type="character" w:styleId="Hipervnculo">
    <w:name w:val="Hyperlink"/>
    <w:basedOn w:val="Fuentedeprrafopredeter"/>
    <w:uiPriority w:val="99"/>
    <w:unhideWhenUsed/>
    <w:rsid w:val="00B9430E"/>
    <w:rPr>
      <w:color w:val="0000FF"/>
      <w:u w:val="none"/>
    </w:rPr>
  </w:style>
  <w:style w:type="character" w:styleId="Hipervnculovisitado">
    <w:name w:val="FollowedHyperlink"/>
    <w:basedOn w:val="Fuentedeprrafopredeter"/>
    <w:uiPriority w:val="99"/>
    <w:semiHidden/>
    <w:unhideWhenUsed/>
    <w:rsid w:val="006D5B93"/>
    <w:rPr>
      <w:color w:val="800080" w:themeColor="followedHyperlink"/>
      <w:u w:val="single"/>
    </w:rPr>
  </w:style>
  <w:style w:type="paragraph" w:styleId="Ttulo">
    <w:name w:val="Title"/>
    <w:basedOn w:val="Normal"/>
    <w:next w:val="Normal"/>
    <w:link w:val="TtuloCar"/>
    <w:qFormat/>
    <w:rsid w:val="00D80D99"/>
    <w:pPr>
      <w:suppressLineNumbers/>
      <w:spacing w:before="240" w:after="360"/>
      <w:jc w:val="center"/>
    </w:pPr>
    <w:rPr>
      <w:rFonts w:cs="Times New Roman"/>
      <w:b/>
      <w:sz w:val="32"/>
      <w:szCs w:val="32"/>
    </w:rPr>
  </w:style>
  <w:style w:type="character" w:customStyle="1" w:styleId="TtuloCar">
    <w:name w:val="Título Car"/>
    <w:basedOn w:val="Fuentedeprrafopredeter"/>
    <w:link w:val="Ttulo"/>
    <w:rsid w:val="00D80D99"/>
    <w:rPr>
      <w:rFonts w:ascii="Times New Roman" w:hAnsi="Times New Roman" w:cs="Times New Roman"/>
      <w:b/>
      <w:sz w:val="32"/>
      <w:szCs w:val="32"/>
    </w:rPr>
  </w:style>
  <w:style w:type="paragraph" w:styleId="Subttulo">
    <w:name w:val="Subtitle"/>
    <w:basedOn w:val="Normal"/>
    <w:next w:val="Normal"/>
    <w:link w:val="SubttuloCar"/>
    <w:uiPriority w:val="99"/>
    <w:unhideWhenUsed/>
    <w:qFormat/>
    <w:rsid w:val="00AC0270"/>
    <w:pPr>
      <w:spacing w:before="240"/>
    </w:pPr>
    <w:rPr>
      <w:rFonts w:cs="Times New Roman"/>
      <w:b/>
      <w:szCs w:val="24"/>
    </w:rPr>
  </w:style>
  <w:style w:type="character" w:customStyle="1" w:styleId="SubttuloCar">
    <w:name w:val="Subtítulo Car"/>
    <w:basedOn w:val="Fuentedeprrafopredeter"/>
    <w:link w:val="Subttulo"/>
    <w:uiPriority w:val="99"/>
    <w:rsid w:val="00651CA2"/>
    <w:rPr>
      <w:rFonts w:ascii="Times New Roman" w:hAnsi="Times New Roman" w:cs="Times New Roman"/>
      <w:b/>
      <w:sz w:val="24"/>
      <w:szCs w:val="24"/>
    </w:rPr>
  </w:style>
  <w:style w:type="character" w:customStyle="1" w:styleId="Ttulo3Car">
    <w:name w:val="Título 3 Car"/>
    <w:basedOn w:val="Fuentedeprrafopredeter"/>
    <w:link w:val="Ttulo3"/>
    <w:uiPriority w:val="2"/>
    <w:rsid w:val="005D1840"/>
    <w:rPr>
      <w:rFonts w:ascii="Times New Roman" w:eastAsiaTheme="majorEastAsia" w:hAnsi="Times New Roman" w:cstheme="majorBidi"/>
      <w:b/>
      <w:sz w:val="24"/>
      <w:szCs w:val="24"/>
    </w:rPr>
  </w:style>
  <w:style w:type="paragraph" w:styleId="Sinespaciado">
    <w:name w:val="No Spacing"/>
    <w:uiPriority w:val="99"/>
    <w:unhideWhenUsed/>
    <w:qFormat/>
    <w:rsid w:val="00A53000"/>
    <w:pPr>
      <w:spacing w:after="0" w:line="240" w:lineRule="auto"/>
    </w:pPr>
    <w:rPr>
      <w:rFonts w:ascii="Times New Roman" w:hAnsi="Times New Roman"/>
      <w:sz w:val="24"/>
    </w:rPr>
  </w:style>
  <w:style w:type="character" w:customStyle="1" w:styleId="Ttulo4Car">
    <w:name w:val="Título 4 Car"/>
    <w:basedOn w:val="Fuentedeprrafopredeter"/>
    <w:link w:val="Ttulo4"/>
    <w:uiPriority w:val="2"/>
    <w:rsid w:val="005D1840"/>
    <w:rPr>
      <w:rFonts w:ascii="Times New Roman" w:eastAsiaTheme="majorEastAsia" w:hAnsi="Times New Roman" w:cstheme="majorBidi"/>
      <w:b/>
      <w:iCs/>
      <w:sz w:val="24"/>
      <w:szCs w:val="24"/>
    </w:rPr>
  </w:style>
  <w:style w:type="character" w:customStyle="1" w:styleId="Ttulo5Car">
    <w:name w:val="Título 5 Car"/>
    <w:basedOn w:val="Fuentedeprrafopredeter"/>
    <w:link w:val="Ttulo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tulo"/>
    <w:next w:val="Normal"/>
    <w:uiPriority w:val="1"/>
    <w:qFormat/>
    <w:rsid w:val="00651CA2"/>
  </w:style>
  <w:style w:type="character" w:styleId="nfasissutil">
    <w:name w:val="Subtle Emphasis"/>
    <w:basedOn w:val="Fuentedeprrafopredeter"/>
    <w:uiPriority w:val="19"/>
    <w:qFormat/>
    <w:rsid w:val="00C724CF"/>
    <w:rPr>
      <w:rFonts w:ascii="Times New Roman" w:hAnsi="Times New Roman"/>
      <w:i/>
      <w:iCs/>
      <w:color w:val="404040" w:themeColor="text1" w:themeTint="BF"/>
    </w:rPr>
  </w:style>
  <w:style w:type="character" w:styleId="nfasisintenso">
    <w:name w:val="Intense Emphasis"/>
    <w:basedOn w:val="Fuentedeprrafopredeter"/>
    <w:uiPriority w:val="21"/>
    <w:unhideWhenUsed/>
    <w:rsid w:val="00C724CF"/>
    <w:rPr>
      <w:rFonts w:ascii="Times New Roman" w:hAnsi="Times New Roman"/>
      <w:i/>
      <w:iCs/>
      <w:color w:val="auto"/>
    </w:rPr>
  </w:style>
  <w:style w:type="paragraph" w:styleId="Cita">
    <w:name w:val="Quote"/>
    <w:basedOn w:val="Normal"/>
    <w:next w:val="Normal"/>
    <w:link w:val="CitaCar"/>
    <w:uiPriority w:val="29"/>
    <w:qFormat/>
    <w:rsid w:val="00C724CF"/>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724CF"/>
    <w:rPr>
      <w:rFonts w:ascii="Times New Roman" w:hAnsi="Times New Roman"/>
      <w:i/>
      <w:iCs/>
      <w:color w:val="404040" w:themeColor="text1" w:themeTint="BF"/>
      <w:sz w:val="24"/>
    </w:rPr>
  </w:style>
  <w:style w:type="character" w:styleId="Referenciaintensa">
    <w:name w:val="Intense Reference"/>
    <w:basedOn w:val="Fuentedeprrafopredeter"/>
    <w:uiPriority w:val="32"/>
    <w:qFormat/>
    <w:rsid w:val="00C724CF"/>
    <w:rPr>
      <w:b/>
      <w:bCs/>
      <w:smallCaps/>
      <w:color w:val="auto"/>
      <w:spacing w:val="5"/>
    </w:rPr>
  </w:style>
  <w:style w:type="character" w:styleId="Ttulodellibro">
    <w:name w:val="Book Title"/>
    <w:basedOn w:val="Fuentedeprrafopredeter"/>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n">
    <w:name w:val="Revision"/>
    <w:hidden/>
    <w:uiPriority w:val="99"/>
    <w:semiHidden/>
    <w:rsid w:val="00A545C6"/>
    <w:pPr>
      <w:spacing w:after="0" w:line="240" w:lineRule="auto"/>
    </w:pPr>
    <w:rPr>
      <w:rFonts w:ascii="Times New Roman" w:hAnsi="Times New Roman"/>
      <w:sz w:val="24"/>
    </w:rPr>
  </w:style>
  <w:style w:type="character" w:styleId="Mencinsinresolver">
    <w:name w:val="Unresolved Mention"/>
    <w:basedOn w:val="Fuentedeprrafopredeter"/>
    <w:uiPriority w:val="99"/>
    <w:semiHidden/>
    <w:unhideWhenUsed/>
    <w:rsid w:val="00895308"/>
    <w:rPr>
      <w:color w:val="605E5C"/>
      <w:shd w:val="clear" w:color="auto" w:fill="E1DFDD"/>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table" w:styleId="Tablanormal5">
    <w:name w:val="Plain Table 5"/>
    <w:basedOn w:val="Tablanormal"/>
    <w:uiPriority w:val="45"/>
    <w:rsid w:val="004228F8"/>
    <w:pPr>
      <w:spacing w:after="0" w:line="240" w:lineRule="auto"/>
    </w:pPr>
    <w:rPr>
      <w:rFonts w:ascii="Times New Roman" w:hAnsi="Times New Roma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
    <w:name w:val="Table"/>
    <w:basedOn w:val="Tablanormal"/>
    <w:uiPriority w:val="99"/>
    <w:rsid w:val="007C3608"/>
    <w:pPr>
      <w:spacing w:after="0" w:line="240" w:lineRule="atLeast"/>
      <w:contextualSpacing/>
      <w:jc w:val="both"/>
      <w:textboxTightWrap w:val="allLines"/>
    </w:pPr>
    <w:rPr>
      <w:rFonts w:ascii="Times New Roman" w:hAnsi="Times New Roman"/>
    </w:rPr>
    <w:tblPr>
      <w:tblBorders>
        <w:top w:val="single" w:sz="4" w:space="0" w:color="auto"/>
        <w:bottom w:val="single" w:sz="4" w:space="0" w:color="auto"/>
      </w:tblBorders>
    </w:tblPr>
    <w:tcPr>
      <w:vAlign w:val="center"/>
    </w:tcPr>
    <w:tblStylePr w:type="firstRow">
      <w:pPr>
        <w:wordWrap/>
        <w:spacing w:line="240" w:lineRule="atLeast"/>
        <w:jc w:val="left"/>
      </w:pPr>
      <w:rPr>
        <w:b/>
      </w:rPr>
      <w:tblPr/>
      <w:tcPr>
        <w:tcBorders>
          <w:bottom w:val="single" w:sz="4" w:space="0" w:color="auto"/>
        </w:tcBorders>
        <w:vAlign w:val="bottom"/>
      </w:tcPr>
    </w:tblStylePr>
    <w:tblStylePr w:type="lastRow">
      <w:pPr>
        <w:wordWrap/>
        <w:spacing w:line="240" w:lineRule="atLeast"/>
      </w:pPr>
    </w:tblStylePr>
  </w:style>
  <w:style w:type="table" w:styleId="Tablanormal3">
    <w:name w:val="Plain Table 3"/>
    <w:basedOn w:val="Tablanormal"/>
    <w:uiPriority w:val="43"/>
    <w:rsid w:val="004228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BF43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5453F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g"/><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file:///C:\Users\Sebastian\Downloads\%3ftab=t.0" TargetMode="External"/><Relationship Id="rId7" Type="http://schemas.openxmlformats.org/officeDocument/2006/relationships/hyperlink" Target="https://www.zotero.org/google-docs/?YjFXE1" TargetMode="External"/><Relationship Id="rId12" Type="http://schemas.openxmlformats.org/officeDocument/2006/relationships/hyperlink" Target="file:///C:\Users\Sebastian\Downloads\%3ftab=t.0" TargetMode="External"/><Relationship Id="rId17" Type="http://schemas.openxmlformats.org/officeDocument/2006/relationships/hyperlink" Target="file:///C:\Users\Sebastian\Downloads\%3ftab=t.0" TargetMode="Externa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yperlink" Target="file:///C:\Users\Sebastian\Downloads\%3ftab=t.0" TargetMode="External"/><Relationship Id="rId29" Type="http://schemas.openxmlformats.org/officeDocument/2006/relationships/hyperlink" Target="https://www.zotero.org/google-docs/?pZPcy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Sebastian\Downloads\%3ftab=t.0" TargetMode="External"/><Relationship Id="rId24" Type="http://schemas.openxmlformats.org/officeDocument/2006/relationships/hyperlink" Target="file:///C:\Users\Sebastian\Downloads\%3ftab=t.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Sebastian\Downloads\%3ftab=t.0" TargetMode="External"/><Relationship Id="rId23" Type="http://schemas.openxmlformats.org/officeDocument/2006/relationships/hyperlink" Target="file:///C:\Users\Sebastian\Downloads\%3ftab=t.0" TargetMode="External"/><Relationship Id="rId28" Type="http://schemas.openxmlformats.org/officeDocument/2006/relationships/hyperlink" Target="file:///C:\Users\Sebastian\Downloads\%3ftab=t.0" TargetMode="External"/><Relationship Id="rId10" Type="http://schemas.openxmlformats.org/officeDocument/2006/relationships/hyperlink" Target="file:///C:\Users\Sebastian\Downloads\%3ftab=t.0" TargetMode="External"/><Relationship Id="rId19" Type="http://schemas.openxmlformats.org/officeDocument/2006/relationships/hyperlink" Target="file:///C:\Users\Sebastian\Downloads\%3ftab=t.0"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file:///C:\Users\Sebastian\Downloads\%3ftab=t.0" TargetMode="External"/><Relationship Id="rId22" Type="http://schemas.openxmlformats.org/officeDocument/2006/relationships/image" Target="media/image5.jpg"/><Relationship Id="rId27" Type="http://schemas.openxmlformats.org/officeDocument/2006/relationships/hyperlink" Target="file:///C:\Users\Sebastian\Downloads\%3ftab=t.0" TargetMode="External"/><Relationship Id="rId30" Type="http://schemas.openxmlformats.org/officeDocument/2006/relationships/footer" Target="footer1.xml"/><Relationship Id="rId8" Type="http://schemas.openxmlformats.org/officeDocument/2006/relationships/hyperlink" Target="https://www.zotero.org/google-docs/?qy97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frontiers_template</Template>
  <TotalTime>487</TotalTime>
  <Pages>1</Pages>
  <Words>53792</Words>
  <Characters>295856</Characters>
  <Application>Microsoft Office Word</Application>
  <DocSecurity>0</DocSecurity>
  <Lines>2465</Lines>
  <Paragraphs>697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sebastian casas</dc:creator>
  <cp:keywords/>
  <cp:lastModifiedBy>sebastian casas</cp:lastModifiedBy>
  <cp:revision>35</cp:revision>
  <dcterms:created xsi:type="dcterms:W3CDTF">2026-07-01T00:22:00Z</dcterms:created>
  <dcterms:modified xsi:type="dcterms:W3CDTF">2026-09-01T15:23:00Z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y fmtid="{D5CDD505-2E9C-101B-9397-08002B2CF9AE}" pid="12" name="GrammarlyDocumentId">
    <vt:lpwstr>1b73f238-9dce-4a58-aa49-984568f6447a</vt:lpwstr>
  </property>
  <property fmtid="{D5CDD505-2E9C-101B-9397-08002B2CF9AE}" pid="13" name="ZOTERO_PREF_1">
    <vt:lpwstr>&lt;data data-version="3" zotero-version="9.0.6"&gt;&lt;session id="ofyVi0rD"/&gt;&lt;style id="http://www.zotero.org/styles/apa" locale="es-ES" hasBibliography="1" bibliographyStyleHasBeenSet="1"/&gt;&lt;prefs&gt;&lt;pref name="fieldType" value="Field"/&gt;&lt;/prefs&gt;&lt;/data&gt;</vt:lpwstr>
  </property>
</Properties>
</file>