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rPr>
                <w:sz w:val="22"/>
                <w:szCs w:val="22"/>
              </w:rPr>
            </w:pPr>
            <w:r w:rsidDel="00000000" w:rsidR="00000000" w:rsidRPr="00000000">
              <w:rPr>
                <w:sz w:val="22"/>
                <w:szCs w:val="22"/>
                <w:rtl w:val="0"/>
              </w:rPr>
              <w:t xml:space="preserve">003</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Sebastián Ibarra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Catalina Esquivel</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Sebastián Ibarra, Catalina Esquivel</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widowControl w:val="0"/>
              <w:rPr>
                <w:sz w:val="22"/>
                <w:szCs w:val="22"/>
              </w:rPr>
            </w:pPr>
            <w:r w:rsidDel="00000000" w:rsidR="00000000" w:rsidRPr="00000000">
              <w:rPr>
                <w:sz w:val="22"/>
                <w:szCs w:val="22"/>
                <w:rtl w:val="0"/>
              </w:rPr>
              <w:t xml:space="preserve">Team Scrun</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4"/>
              <w:tblW w:w="4896.0" w:type="dxa"/>
              <w:jc w:val="left"/>
              <w:tblLayout w:type="fixed"/>
              <w:tblLook w:val="0400"/>
            </w:tblPr>
            <w:tblGrid>
              <w:gridCol w:w="4896"/>
              <w:tblGridChange w:id="0">
                <w:tblGrid>
                  <w:gridCol w:w="4896"/>
                </w:tblGrid>
              </w:tblGridChange>
            </w:tblGrid>
            <w:tr>
              <w:trPr>
                <w:cantSplit w:val="0"/>
                <w:tblHeader w:val="0"/>
              </w:trPr>
              <w:tc>
                <w:tcPr>
                  <w:vAlign w:val="center"/>
                </w:tcPr>
                <w:p w:rsidR="00000000" w:rsidDel="00000000" w:rsidP="00000000" w:rsidRDefault="00000000" w:rsidRPr="00000000" w14:paraId="00000027">
                  <w:pPr>
                    <w:rPr>
                      <w:color w:val="000000"/>
                    </w:rPr>
                  </w:pPr>
                  <w:r w:rsidDel="00000000" w:rsidR="00000000" w:rsidRPr="00000000">
                    <w:rPr>
                      <w:rtl w:val="0"/>
                    </w:rPr>
                    <w:t xml:space="preserve">Progreso en la integración de los asistentes con la API de HubSpot (E01-H01).</w:t>
                  </w:r>
                  <w:r w:rsidDel="00000000" w:rsidR="00000000" w:rsidRPr="00000000">
                    <w:rPr>
                      <w:rtl w:val="0"/>
                    </w:rPr>
                  </w:r>
                </w:p>
              </w:tc>
            </w:tr>
          </w:tbl>
          <w:p w:rsidR="00000000" w:rsidDel="00000000" w:rsidP="00000000" w:rsidRDefault="00000000" w:rsidRPr="00000000" w14:paraId="00000028">
            <w:pPr>
              <w:widowControl w:val="0"/>
              <w:rPr>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5"/>
              <w:tblW w:w="7296.0" w:type="dxa"/>
              <w:jc w:val="left"/>
              <w:tblLayout w:type="fixed"/>
              <w:tblLook w:val="0400"/>
            </w:tblPr>
            <w:tblGrid>
              <w:gridCol w:w="81"/>
              <w:gridCol w:w="7215"/>
              <w:tblGridChange w:id="0">
                <w:tblGrid>
                  <w:gridCol w:w="81"/>
                  <w:gridCol w:w="7215"/>
                </w:tblGrid>
              </w:tblGridChange>
            </w:tblGrid>
            <w:tr>
              <w:trPr>
                <w:cantSplit w:val="0"/>
                <w:tblHeader w:val="0"/>
              </w:trPr>
              <w:tc>
                <w:tcPr>
                  <w:vAlign w:val="center"/>
                </w:tcPr>
                <w:p w:rsidR="00000000" w:rsidDel="00000000" w:rsidP="00000000" w:rsidRDefault="00000000" w:rsidRPr="00000000" w14:paraId="0000002B">
                  <w:pPr>
                    <w:rPr>
                      <w:color w:val="000000"/>
                    </w:rPr>
                  </w:pPr>
                  <w:r w:rsidDel="00000000" w:rsidR="00000000" w:rsidRPr="00000000">
                    <w:rPr>
                      <w:rtl w:val="0"/>
                    </w:rPr>
                  </w:r>
                </w:p>
              </w:tc>
              <w:tc>
                <w:tcPr>
                  <w:vAlign w:val="center"/>
                </w:tcPr>
                <w:p w:rsidR="00000000" w:rsidDel="00000000" w:rsidP="00000000" w:rsidRDefault="00000000" w:rsidRPr="00000000" w14:paraId="0000002C">
                  <w:pPr>
                    <w:rPr>
                      <w:color w:val="000000"/>
                    </w:rPr>
                  </w:pPr>
                  <w:r w:rsidDel="00000000" w:rsidR="00000000" w:rsidRPr="00000000">
                    <w:rPr>
                      <w:rtl w:val="0"/>
                    </w:rPr>
                    <w:t xml:space="preserve">Avances en la visualización de interacciones del chatbot en el CRM (E01-H02)</w:t>
                  </w:r>
                  <w:r w:rsidDel="00000000" w:rsidR="00000000" w:rsidRPr="00000000">
                    <w:rPr>
                      <w:color w:val="000000"/>
                      <w:rtl w:val="0"/>
                    </w:rPr>
                    <w:t xml:space="preserve">.</w:t>
                  </w:r>
                </w:p>
              </w:tc>
            </w:tr>
          </w:tbl>
          <w:p w:rsidR="00000000" w:rsidDel="00000000" w:rsidP="00000000" w:rsidRDefault="00000000" w:rsidRPr="00000000" w14:paraId="0000002D">
            <w:pPr>
              <w:widowControl w:val="0"/>
              <w:rPr>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E">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6"/>
              <w:tblW w:w="6793.000000000001" w:type="dxa"/>
              <w:jc w:val="left"/>
              <w:tblLayout w:type="fixed"/>
              <w:tblLook w:val="0400"/>
            </w:tblPr>
            <w:tblGrid>
              <w:gridCol w:w="81"/>
              <w:gridCol w:w="6712"/>
              <w:tblGridChange w:id="0">
                <w:tblGrid>
                  <w:gridCol w:w="81"/>
                  <w:gridCol w:w="6712"/>
                </w:tblGrid>
              </w:tblGridChange>
            </w:tblGrid>
            <w:tr>
              <w:trPr>
                <w:cantSplit w:val="0"/>
                <w:tblHeader w:val="0"/>
              </w:trPr>
              <w:tc>
                <w:tcPr>
                  <w:vAlign w:val="center"/>
                </w:tcPr>
                <w:p w:rsidR="00000000" w:rsidDel="00000000" w:rsidP="00000000" w:rsidRDefault="00000000" w:rsidRPr="00000000" w14:paraId="00000030">
                  <w:pPr>
                    <w:rPr>
                      <w:color w:val="000000"/>
                    </w:rPr>
                  </w:pPr>
                  <w:r w:rsidDel="00000000" w:rsidR="00000000" w:rsidRPr="00000000">
                    <w:rPr>
                      <w:rtl w:val="0"/>
                    </w:rPr>
                  </w:r>
                </w:p>
              </w:tc>
              <w:tc>
                <w:tcPr>
                  <w:vAlign w:val="center"/>
                </w:tcPr>
                <w:p w:rsidR="00000000" w:rsidDel="00000000" w:rsidP="00000000" w:rsidRDefault="00000000" w:rsidRPr="00000000" w14:paraId="00000031">
                  <w:pPr>
                    <w:rPr>
                      <w:color w:val="000000"/>
                    </w:rPr>
                  </w:pPr>
                  <w:r w:rsidDel="00000000" w:rsidR="00000000" w:rsidRPr="00000000">
                    <w:rPr>
                      <w:rtl w:val="0"/>
                    </w:rPr>
                    <w:t xml:space="preserve">Desarrollo de la notificación de fallos en la sincronización con el CRM (E01-H03)</w:t>
                  </w:r>
                  <w:r w:rsidDel="00000000" w:rsidR="00000000" w:rsidRPr="00000000">
                    <w:rPr>
                      <w:color w:val="000000"/>
                      <w:rtl w:val="0"/>
                    </w:rPr>
                    <w:t xml:space="preserve">.</w:t>
                  </w:r>
                </w:p>
              </w:tc>
            </w:tr>
          </w:tbl>
          <w:p w:rsidR="00000000" w:rsidDel="00000000" w:rsidP="00000000" w:rsidRDefault="00000000" w:rsidRPr="00000000" w14:paraId="00000032">
            <w:pPr>
              <w:widowControl w:val="0"/>
              <w:rPr>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33">
            <w:pPr>
              <w:widowControl w:val="0"/>
              <w:jc w:val="center"/>
              <w:rPr>
                <w:sz w:val="22"/>
                <w:szCs w:val="22"/>
              </w:rPr>
            </w:pPr>
            <w:r w:rsidDel="00000000" w:rsidR="00000000" w:rsidRPr="00000000">
              <w:rPr>
                <w:sz w:val="22"/>
                <w:szCs w:val="22"/>
                <w:rtl w:val="0"/>
              </w:rPr>
              <w:t xml:space="preserve">4</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Implementación del "botón de editar clientes" en el panel de administración (E08-H21).</w:t>
            </w:r>
          </w:p>
        </w:tc>
      </w:tr>
    </w:tbl>
    <w:p w:rsidR="00000000" w:rsidDel="00000000" w:rsidP="00000000" w:rsidRDefault="00000000" w:rsidRPr="00000000" w14:paraId="00000035">
      <w:pPr>
        <w:jc w:val="both"/>
        <w:rPr>
          <w:color w:val="2e74b5"/>
        </w:rPr>
      </w:pPr>
      <w:r w:rsidDel="00000000" w:rsidR="00000000" w:rsidRPr="00000000">
        <w:rPr>
          <w:rtl w:val="0"/>
        </w:rPr>
      </w:r>
    </w:p>
    <w:p w:rsidR="00000000" w:rsidDel="00000000" w:rsidP="00000000" w:rsidRDefault="00000000" w:rsidRPr="00000000" w14:paraId="00000036">
      <w:pPr>
        <w:jc w:val="both"/>
        <w:rPr>
          <w:color w:val="2e74b5"/>
        </w:rPr>
      </w:pPr>
      <w:r w:rsidDel="00000000" w:rsidR="00000000" w:rsidRPr="00000000">
        <w:rPr>
          <w:rtl w:val="0"/>
        </w:rPr>
      </w:r>
    </w:p>
    <w:p w:rsidR="00000000" w:rsidDel="00000000" w:rsidP="00000000" w:rsidRDefault="00000000" w:rsidRPr="00000000" w14:paraId="00000037">
      <w:pPr>
        <w:jc w:val="both"/>
        <w:rPr>
          <w:color w:val="2e74b5"/>
        </w:rPr>
      </w:pPr>
      <w:r w:rsidDel="00000000" w:rsidR="00000000" w:rsidRPr="00000000">
        <w:rPr>
          <w:rtl w:val="0"/>
        </w:rPr>
      </w:r>
    </w:p>
    <w:p w:rsidR="00000000" w:rsidDel="00000000" w:rsidP="00000000" w:rsidRDefault="00000000" w:rsidRPr="00000000" w14:paraId="00000038">
      <w:pPr>
        <w:jc w:val="both"/>
        <w:rPr>
          <w:color w:val="2e74b5"/>
        </w:rPr>
      </w:pPr>
      <w:r w:rsidDel="00000000" w:rsidR="00000000" w:rsidRPr="00000000">
        <w:rPr>
          <w:rtl w:val="0"/>
        </w:rPr>
      </w:r>
    </w:p>
    <w:p w:rsidR="00000000" w:rsidDel="00000000" w:rsidP="00000000" w:rsidRDefault="00000000" w:rsidRPr="00000000" w14:paraId="00000039">
      <w:pPr>
        <w:jc w:val="both"/>
        <w:rPr>
          <w:color w:val="2e74b5"/>
        </w:rPr>
      </w:pPr>
      <w:r w:rsidDel="00000000" w:rsidR="00000000" w:rsidRPr="00000000">
        <w:rPr>
          <w:rtl w:val="0"/>
        </w:rPr>
      </w:r>
    </w:p>
    <w:p w:rsidR="00000000" w:rsidDel="00000000" w:rsidP="00000000" w:rsidRDefault="00000000" w:rsidRPr="00000000" w14:paraId="0000003A">
      <w:pPr>
        <w:jc w:val="both"/>
        <w:rPr>
          <w:color w:val="2e74b5"/>
        </w:rPr>
      </w:pPr>
      <w:r w:rsidDel="00000000" w:rsidR="00000000" w:rsidRPr="00000000">
        <w:rPr>
          <w:rtl w:val="0"/>
        </w:rPr>
      </w:r>
    </w:p>
    <w:p w:rsidR="00000000" w:rsidDel="00000000" w:rsidP="00000000" w:rsidRDefault="00000000" w:rsidRPr="00000000" w14:paraId="0000003B">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tbl>
      <w:tblPr>
        <w:tblStyle w:val="Table7"/>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C">
            <w:pPr>
              <w:widowControl w:val="0"/>
              <w:numPr>
                <w:ilvl w:val="0"/>
                <w:numId w:val="2"/>
              </w:numPr>
              <w:ind w:left="720" w:hanging="360"/>
              <w:jc w:val="both"/>
              <w:rPr>
                <w:rFonts w:ascii="Calibri" w:cs="Calibri" w:eastAsia="Calibri" w:hAnsi="Calibri"/>
                <w:sz w:val="22"/>
                <w:szCs w:val="22"/>
              </w:rPr>
            </w:pPr>
            <w:r w:rsidDel="00000000" w:rsidR="00000000" w:rsidRPr="00000000">
              <w:rPr>
                <w:b w:val="1"/>
                <w:sz w:val="22"/>
                <w:szCs w:val="22"/>
                <w:rtl w:val="0"/>
              </w:rPr>
              <w:t xml:space="preserve">E01-H01</w:t>
            </w:r>
            <w:r w:rsidDel="00000000" w:rsidR="00000000" w:rsidRPr="00000000">
              <w:rPr>
                <w:sz w:val="22"/>
                <w:szCs w:val="22"/>
                <w:rtl w:val="0"/>
              </w:rPr>
              <w:t xml:space="preserve">: La integración de los asistentes con la API de HubSpot ha avanzado. El equipo ha establecido la conexión básica y se están realizando pruebas de sincronización de las conversaciones y mensajes con el CRM. Sin embargo, se encontraron algunos bloqueos relacionados con la autenticación de la API, lo que está retrasando las pruebas finales.</w:t>
            </w:r>
          </w:p>
          <w:p w:rsidR="00000000" w:rsidDel="00000000" w:rsidP="00000000" w:rsidRDefault="00000000" w:rsidRPr="00000000" w14:paraId="0000003D">
            <w:pPr>
              <w:widowControl w:val="0"/>
              <w:numPr>
                <w:ilvl w:val="0"/>
                <w:numId w:val="2"/>
              </w:numPr>
              <w:ind w:left="720" w:hanging="360"/>
              <w:jc w:val="both"/>
              <w:rPr>
                <w:rFonts w:ascii="Calibri" w:cs="Calibri" w:eastAsia="Calibri" w:hAnsi="Calibri"/>
                <w:sz w:val="22"/>
                <w:szCs w:val="22"/>
              </w:rPr>
            </w:pPr>
            <w:r w:rsidDel="00000000" w:rsidR="00000000" w:rsidRPr="00000000">
              <w:rPr>
                <w:b w:val="1"/>
                <w:sz w:val="22"/>
                <w:szCs w:val="22"/>
                <w:rtl w:val="0"/>
              </w:rPr>
              <w:t xml:space="preserve">E01-H02</w:t>
            </w:r>
            <w:r w:rsidDel="00000000" w:rsidR="00000000" w:rsidRPr="00000000">
              <w:rPr>
                <w:sz w:val="22"/>
                <w:szCs w:val="22"/>
                <w:rtl w:val="0"/>
              </w:rPr>
              <w:t xml:space="preserve">: La visualización de interacciones en el perfil del cliente dentro del CRM está en progreso. El diseño de la interfaz de usuario está completo, pero se están ajustando detalles de la visualización de los datos en tiempo real. Se han presentado algunos problemas con la actualización en vivo de los datos, los cuales están siendo solucionados.</w:t>
            </w:r>
          </w:p>
          <w:p w:rsidR="00000000" w:rsidDel="00000000" w:rsidP="00000000" w:rsidRDefault="00000000" w:rsidRPr="00000000" w14:paraId="0000003E">
            <w:pPr>
              <w:widowControl w:val="0"/>
              <w:numPr>
                <w:ilvl w:val="0"/>
                <w:numId w:val="2"/>
              </w:numPr>
              <w:ind w:left="720" w:hanging="360"/>
              <w:jc w:val="both"/>
              <w:rPr>
                <w:rFonts w:ascii="Calibri" w:cs="Calibri" w:eastAsia="Calibri" w:hAnsi="Calibri"/>
                <w:sz w:val="22"/>
                <w:szCs w:val="22"/>
              </w:rPr>
            </w:pPr>
            <w:r w:rsidDel="00000000" w:rsidR="00000000" w:rsidRPr="00000000">
              <w:rPr>
                <w:b w:val="1"/>
                <w:sz w:val="22"/>
                <w:szCs w:val="22"/>
                <w:rtl w:val="0"/>
              </w:rPr>
              <w:t xml:space="preserve">E01-H03</w:t>
            </w:r>
            <w:r w:rsidDel="00000000" w:rsidR="00000000" w:rsidRPr="00000000">
              <w:rPr>
                <w:sz w:val="22"/>
                <w:szCs w:val="22"/>
                <w:rtl w:val="0"/>
              </w:rPr>
              <w:t xml:space="preserve">: El sistema de notificaciones por fallos en la sincronización está siendo implementado. La funcionalidad básica ya está funcionando, pero se están realizando ajustes para garantizar que las alertas sean enviadas correctamente en caso de que se presenten errores de sincronización.</w:t>
            </w:r>
          </w:p>
          <w:p w:rsidR="00000000" w:rsidDel="00000000" w:rsidP="00000000" w:rsidRDefault="00000000" w:rsidRPr="00000000" w14:paraId="0000003F">
            <w:pPr>
              <w:widowControl w:val="0"/>
              <w:numPr>
                <w:ilvl w:val="0"/>
                <w:numId w:val="2"/>
              </w:numPr>
              <w:ind w:left="720" w:hanging="360"/>
              <w:jc w:val="both"/>
              <w:rPr>
                <w:rFonts w:ascii="Calibri" w:cs="Calibri" w:eastAsia="Calibri" w:hAnsi="Calibri"/>
                <w:sz w:val="22"/>
                <w:szCs w:val="22"/>
              </w:rPr>
            </w:pPr>
            <w:r w:rsidDel="00000000" w:rsidR="00000000" w:rsidRPr="00000000">
              <w:rPr>
                <w:b w:val="1"/>
                <w:sz w:val="22"/>
                <w:szCs w:val="22"/>
                <w:rtl w:val="0"/>
              </w:rPr>
              <w:t xml:space="preserve">E08-H21</w:t>
            </w:r>
            <w:r w:rsidDel="00000000" w:rsidR="00000000" w:rsidRPr="00000000">
              <w:rPr>
                <w:sz w:val="22"/>
                <w:szCs w:val="22"/>
                <w:rtl w:val="0"/>
              </w:rPr>
              <w:t xml:space="preserve">: El "botón de editar clientes" ya está implementado en el panel de administración. Actualmente, el botón redirige a la ventana emergente, pero se están realizando pruebas adicionales para asegurar que la eliminación de clientes se realice correctamente y se actualice el estado de los datos en el sistema.</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88" w:lineRule="auto"/>
              <w:ind w:left="720" w:right="0" w:hanging="360"/>
              <w:jc w:val="both"/>
              <w:rPr>
                <w:sz w:val="22"/>
                <w:szCs w:val="22"/>
                <w:u w:val="none"/>
              </w:rPr>
            </w:pPr>
            <w:r w:rsidDel="00000000" w:rsidR="00000000" w:rsidRPr="00000000">
              <w:rPr>
                <w:rtl w:val="0"/>
              </w:rPr>
            </w:r>
          </w:p>
          <w:p w:rsidR="00000000" w:rsidDel="00000000" w:rsidP="00000000" w:rsidRDefault="00000000" w:rsidRPr="00000000" w14:paraId="00000041">
            <w:pPr>
              <w:widowControl w:val="0"/>
              <w:jc w:val="both"/>
              <w:rPr>
                <w:sz w:val="22"/>
                <w:szCs w:val="22"/>
              </w:rPr>
            </w:pPr>
            <w:r w:rsidDel="00000000" w:rsidR="00000000" w:rsidRPr="00000000">
              <w:rPr>
                <w:rtl w:val="0"/>
              </w:rPr>
            </w:r>
          </w:p>
        </w:tc>
      </w:tr>
    </w:tbl>
    <w:p w:rsidR="00000000" w:rsidDel="00000000" w:rsidP="00000000" w:rsidRDefault="00000000" w:rsidRPr="00000000" w14:paraId="00000042">
      <w:pPr>
        <w:ind w:firstLine="708"/>
        <w:jc w:val="both"/>
        <w:rPr>
          <w:color w:val="00000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Liberation San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-499108</wp:posOffset>
          </wp:positionV>
          <wp:extent cx="2209800" cy="36703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spacing w:line="240" w:lineRule="auto"/>
    </w:pPr>
    <w:rPr>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S/ExGjypPtFHJgZbEgwtD4oFMg==">CgMxLjA4AHIhMUNNeW9lVlgwVXdFMEZfbDdSajhRWXdfLWhVZDRGcFpr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2024-10-17T16:25:00Z</dcterms:created>
  <dc:creator>Marcelo Godoy Gálvez</dc:creator>
</cp:coreProperties>
</file>