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FDBF8" w14:textId="3642218A" w:rsidR="00471B5B" w:rsidRDefault="00471B5B" w:rsidP="00471B5B">
      <w:pPr>
        <w:pStyle w:val="Ttulo1"/>
        <w:jc w:val="both"/>
      </w:pPr>
      <w:r>
        <w:t>CUARTA REVOLUCIÓN INDUSTRIAL COMO MORTOR DE CAMBIO PARA LAS PYMES</w:t>
      </w:r>
    </w:p>
    <w:p w14:paraId="1B25A943" w14:textId="08B7174F" w:rsidR="001F7CF9" w:rsidRDefault="001F7CF9" w:rsidP="00A30216">
      <w:pPr>
        <w:ind w:firstLine="709"/>
      </w:pPr>
      <w:r w:rsidRPr="001F7CF9">
        <w:t>En un entorno empresarial en constante evolución, las Pequeñas y Medianas Empresas (P</w:t>
      </w:r>
      <w:r>
        <w:t>YMES</w:t>
      </w:r>
      <w:r w:rsidRPr="001F7CF9">
        <w:t xml:space="preserve">) en Colombia se enfrentan a desafíos y oportunidades únicas en su búsqueda de crecimiento y sostenibilidad. En este contexto, </w:t>
      </w:r>
      <w:r w:rsidR="00E83EC0">
        <w:t xml:space="preserve">mostraré como </w:t>
      </w:r>
      <w:r w:rsidRPr="001F7CF9">
        <w:t xml:space="preserve">la digitalización emerge como un elemento crucial que puede transformar radicalmente la forma en que estas empresas operan y compiten en el mercado. La adopción de tecnologías digitales no solo es una opción estratégica, sino una necesidad imperante para garantizar la viabilidad a largo plazo. En este ensayo, </w:t>
      </w:r>
      <w:r w:rsidR="00E83EC0">
        <w:t xml:space="preserve">en un inicio daré una contextualización y ejemplificación de la importancia de adoptar una revolución industrial de forma eficaz y un contexto de la revolución actual, donde posteriormente </w:t>
      </w:r>
      <w:r w:rsidRPr="001F7CF9">
        <w:t xml:space="preserve">exploraremos a fondo los desafíos específicos que enfrentan las </w:t>
      </w:r>
      <w:r w:rsidR="00E83EC0" w:rsidRPr="001F7CF9">
        <w:t>P</w:t>
      </w:r>
      <w:r w:rsidR="00E83EC0">
        <w:t>YMES</w:t>
      </w:r>
      <w:r w:rsidR="00E83EC0" w:rsidRPr="001F7CF9">
        <w:t xml:space="preserve"> </w:t>
      </w:r>
      <w:r w:rsidRPr="001F7CF9">
        <w:t>en Colombia, los beneficios potenciales de la digitalización, así como las barreras que deben superar. A medida que analizamos este panorama, se hará evidente que la digitalización no es simplemente una opción moderna, sino un imperativo que puede impulsar la competitividad y la resiliencia de las P</w:t>
      </w:r>
      <w:r w:rsidR="00E83EC0">
        <w:t>YMES</w:t>
      </w:r>
      <w:r w:rsidRPr="001F7CF9">
        <w:t xml:space="preserve"> en el mercado colombiano.</w:t>
      </w:r>
    </w:p>
    <w:p w14:paraId="19ADFB12" w14:textId="53D2D7ED" w:rsidR="00A30216" w:rsidRDefault="00A30216" w:rsidP="00A30216">
      <w:pPr>
        <w:ind w:firstLine="709"/>
      </w:pPr>
      <w:r w:rsidRPr="00CA0826">
        <w:t>A lo largo de la historia, hemos observado c</w:t>
      </w:r>
      <w:r w:rsidR="00FB2F58" w:rsidRPr="00CA0826">
        <w:t>o</w:t>
      </w:r>
      <w:r w:rsidRPr="00CA0826">
        <w:t>mo las empresas que se adaptan rápidamente a las innovaciones de las revoluciones industriales son las que obtienen los mayores beneficios, como lo destacan George et al.</w:t>
      </w:r>
      <w:r w:rsidR="008E02B0">
        <w:t xml:space="preserve"> En su libro </w:t>
      </w:r>
      <w:r w:rsidR="008E02B0" w:rsidRPr="008E02B0">
        <w:t xml:space="preserve">Lean </w:t>
      </w:r>
      <w:proofErr w:type="spellStart"/>
      <w:r w:rsidR="008E02B0" w:rsidRPr="008E02B0">
        <w:t>Six</w:t>
      </w:r>
      <w:proofErr w:type="spellEnd"/>
      <w:r w:rsidR="008E02B0" w:rsidRPr="008E02B0">
        <w:t xml:space="preserve"> Sigma</w:t>
      </w:r>
      <w:r w:rsidR="008E02B0">
        <w:t xml:space="preserve"> </w:t>
      </w:r>
      <w:r w:rsidRPr="00CA0826">
        <w:t>[1] “</w:t>
      </w:r>
      <w:commentRangeStart w:id="0"/>
      <w:r w:rsidRPr="00CA0826">
        <w:t xml:space="preserve">El ejemplo más conocido es el Modelo T de Henry Ford, cuya producción anual superó los 2 millones de automóviles en 1920. Esta segunda revolución manufacturera redujo el precio del Modelo T de 850 dólares en 1908 a 245 dólares en 1922, ¡y Ford tenía más del 60% del mercado!”. </w:t>
      </w:r>
      <w:commentRangeEnd w:id="0"/>
      <w:r w:rsidR="00753812" w:rsidRPr="00CA0826">
        <w:rPr>
          <w:rStyle w:val="Refdecomentario"/>
        </w:rPr>
        <w:commentReference w:id="0"/>
      </w:r>
      <w:r w:rsidRPr="00CA0826">
        <w:t xml:space="preserve">Fue durante esta segunda revolución que la empresa Ford aprovechó la nueva maquinaria </w:t>
      </w:r>
      <w:r w:rsidR="00FB2F58" w:rsidRPr="00CA0826">
        <w:t>con</w:t>
      </w:r>
      <w:r w:rsidRPr="00CA0826">
        <w:t xml:space="preserve"> funcionamiento eléctrico para mejorar su producción, resaltándose un claro caso en el cual una empresa se adapta de una manera veloz y se logra aprovechar de los beneficios existentes.</w:t>
      </w:r>
    </w:p>
    <w:p w14:paraId="29D40DF9" w14:textId="586AC5E9" w:rsidR="00251DAC" w:rsidRDefault="00251DAC" w:rsidP="00CA42EB">
      <w:pPr>
        <w:ind w:firstLine="708"/>
      </w:pPr>
      <w:r w:rsidRPr="006C0461">
        <w:t>En la actualidad nos encontramos en la cuarta revolución industrial, una era que trae consigo notables avances destinados a impulsar la productividad tanto en empresas como en las labores cotidianas. Cabe resaltar la importancia de la digitalización en el panorama mundial, destacando una fracción de su capacidad a través de tecnologías avanzadas como la inteligencia artificial (IA), el Internet de las Cosas (</w:t>
      </w:r>
      <w:proofErr w:type="spellStart"/>
      <w:r w:rsidRPr="006C0461">
        <w:t>IoT</w:t>
      </w:r>
      <w:proofErr w:type="spellEnd"/>
      <w:r w:rsidRPr="006C0461">
        <w:t xml:space="preserve">) y el </w:t>
      </w:r>
      <w:proofErr w:type="spellStart"/>
      <w:r w:rsidRPr="006C0461">
        <w:t>big</w:t>
      </w:r>
      <w:proofErr w:type="spellEnd"/>
      <w:r w:rsidRPr="006C0461">
        <w:t xml:space="preserve"> data. La unión de estas opciones tecnológicas revela su potencial en una labor tal como la de generar análisis eficaces de la información, </w:t>
      </w:r>
      <w:r w:rsidRPr="006C0461">
        <w:lastRenderedPageBreak/>
        <w:t xml:space="preserve">desempeñando un papel crucial en la optimización y ejecución eficiente de tareas diarias. Este enfoque integrado de tecnologías emergentes no solo representa una evolución en la forma en que abordamos la información, sino que también subraya la necesidad imperante de adoptar enfoques digitalizados para mantenerse competitivos en un entorno empresarial cada vez más dinámico y complejo. En este sentido, la comprensión y aplicación de estas tecnologías se posicionan como </w:t>
      </w:r>
      <w:r w:rsidR="00CA42EB" w:rsidRPr="006C0461">
        <w:t>labores</w:t>
      </w:r>
      <w:r w:rsidRPr="006C0461">
        <w:t xml:space="preserve"> esenciales para el progreso y la eficacia en la era de la cuarta revolución industrial.</w:t>
      </w:r>
    </w:p>
    <w:p w14:paraId="187B42B5" w14:textId="0F013FA4" w:rsidR="005B73D6" w:rsidRDefault="005B73D6" w:rsidP="005B73D6">
      <w:pPr>
        <w:ind w:firstLine="709"/>
      </w:pPr>
      <w:r>
        <w:t>Podremos encontrar como algunas empresas han logrado implementar parte de las tecnologías de la industria 4.0, especialmente las grandes empresas las cuales cuentan con mayores recursos y capacidad para solventar los gastos asociados con la instalación, adaptación, uso y mantenimiento. Esto se contrasta con la situación de la mayoría de las PYMES, quienes no cuentan con el capital suficiente para incorporarlas en sus labores, como es expuesto por Valencia et al</w:t>
      </w:r>
      <w:r w:rsidR="008E02B0">
        <w:t xml:space="preserve"> en </w:t>
      </w:r>
      <w:r w:rsidR="008E02B0" w:rsidRPr="008E02B0">
        <w:t>Influencia de la cuarta revolución industrial en Colombia</w:t>
      </w:r>
      <w:r w:rsidR="008E02B0" w:rsidRPr="008E02B0">
        <w:t xml:space="preserve"> </w:t>
      </w:r>
      <w:r>
        <w:t>[</w:t>
      </w:r>
      <w:r w:rsidR="00E83EC0">
        <w:t>2</w:t>
      </w:r>
      <w:r>
        <w:t xml:space="preserve">]: </w:t>
      </w:r>
    </w:p>
    <w:p w14:paraId="4BBAEA14" w14:textId="77777777" w:rsidR="005B73D6" w:rsidRPr="002D5C86" w:rsidRDefault="005B73D6" w:rsidP="005B73D6">
      <w:pPr>
        <w:ind w:left="680" w:right="680"/>
        <w:mirrorIndents/>
        <w:rPr>
          <w:sz w:val="20"/>
          <w:szCs w:val="20"/>
        </w:rPr>
      </w:pPr>
      <w:r w:rsidRPr="002D5C86">
        <w:rPr>
          <w:sz w:val="20"/>
          <w:szCs w:val="20"/>
        </w:rPr>
        <w:t>En Colombia, muchas empresas han apuntado por implementar tecnologías emergentes en sus compañías para así alcanzar un mejor posicionamiento en el mercado, sin embargo, al investigar sobre el tipo de tecnología que manejan actualmente algunos empresarios de PYMES observamos que sólo el 10% maneja impresoras 3D, mientras que para el uso de Big Data es del 20% y para internet de las cosas hubo un porcentaje del 40%, lo que nos lleva a analizar según las 10 PYMES encuestadas, por causa del bajo nivel de capital del que disponen estas en comparación con otras empresas de la industria, son muy pocas las que cuentan con un desarrollo tecnológico más avanzado como el de las impresoras 3D, la mayoría cuentan con un modelo más tradicional como lo es internet de las cosas y la Big Data.</w:t>
      </w:r>
    </w:p>
    <w:p w14:paraId="075D11A9" w14:textId="36674562" w:rsidR="005B73D6" w:rsidRPr="00251DAC" w:rsidRDefault="00496091" w:rsidP="006C0461">
      <w:pPr>
        <w:ind w:firstLine="709"/>
      </w:pPr>
      <w:r>
        <w:t xml:space="preserve">Es posible evidenciar que las PYMES se enfrentan a un reto, </w:t>
      </w:r>
      <w:r w:rsidR="00186D02" w:rsidRPr="00186D02">
        <w:t xml:space="preserve">la capacidad para cubrir gastos asociados al acceso a tecnologías de calidad. Este desafío se traduce en un costo que, en muchas ocasiones, resulta ser </w:t>
      </w:r>
      <w:r>
        <w:t>inalcanzable</w:t>
      </w:r>
      <w:r w:rsidR="00186D02" w:rsidRPr="00186D02">
        <w:t>. Aunque algunas tecnologías poseen porciones de su</w:t>
      </w:r>
      <w:r>
        <w:t>s</w:t>
      </w:r>
      <w:r w:rsidR="00186D02" w:rsidRPr="00186D02">
        <w:t xml:space="preserve"> </w:t>
      </w:r>
      <w:r>
        <w:t>funcionalidades</w:t>
      </w:r>
      <w:r w:rsidR="00186D02" w:rsidRPr="00186D02">
        <w:t xml:space="preserve"> en dominio público, es crucial señalar que su implementación efectiva requiere adaptaciones específicas a las necesidades particulares de cada empresa. Esta adaptación no solo conlleva un gasto financiero, sino también un conocimiento especializado, representando así una alternativa que puede ser percibida como poco rentable en el corto plazo para las PYMES. Este dilema destaca la complejidad que enfrentan estas empresas al intentar incorporar tecnologías de </w:t>
      </w:r>
      <w:r w:rsidRPr="00186D02">
        <w:t>evolución</w:t>
      </w:r>
      <w:r w:rsidR="00186D02" w:rsidRPr="00186D02">
        <w:t xml:space="preserve">, resaltando la necesidad de estrategias que faciliten el acceso a soluciones tecnológicas de manera asequible y adaptada a sus requerimientos específicos. En este contexto, el abordaje de </w:t>
      </w:r>
      <w:r w:rsidR="00186D02" w:rsidRPr="00186D02">
        <w:lastRenderedPageBreak/>
        <w:t>este reto se convierte en un elemento crucial para garantizar que las PYMES puedan aprovechar los beneficios de la digitalización sin comprometer su viabilidad financiera.</w:t>
      </w:r>
    </w:p>
    <w:p w14:paraId="0F2D4DB4" w14:textId="75981CAB" w:rsidR="00B0401F" w:rsidRDefault="006A0001" w:rsidP="006C0461">
      <w:pPr>
        <w:ind w:firstLine="709"/>
      </w:pPr>
      <w:r>
        <w:t>El auge de las tecnologías de la industria 4.0 demanda adaptaciones para aprovechar su máximo potencial</w:t>
      </w:r>
      <w:r w:rsidR="006C0461">
        <w:t xml:space="preserve">. </w:t>
      </w:r>
      <w:r>
        <w:t xml:space="preserve">En el ámbito empresarial, el uso del </w:t>
      </w:r>
      <w:proofErr w:type="spellStart"/>
      <w:r>
        <w:t>big</w:t>
      </w:r>
      <w:proofErr w:type="spellEnd"/>
      <w:r>
        <w:t xml:space="preserve"> data y la inteligencia artificial (IA) amplía</w:t>
      </w:r>
      <w:r w:rsidR="006C0461">
        <w:t>n</w:t>
      </w:r>
      <w:r>
        <w:t xml:space="preserve"> significativamente las posibilidades de mejora. </w:t>
      </w:r>
      <w:r w:rsidR="00B0401F" w:rsidRPr="00B0401F">
        <w:t>Estas tecnologías posibilitan la automatización de procesos, la reducción de los tiempos de ejecución y el fortalecimiento de la competitividad en el sector, generando mejoras sustanciales en la gestión empresarial, entre otros beneficios. Estas herramientas se revelan como aliadas indispensables para las</w:t>
      </w:r>
      <w:r w:rsidR="00B0401F">
        <w:t xml:space="preserve"> PYMES</w:t>
      </w:r>
      <w:r w:rsidR="00B0401F" w:rsidRPr="00B0401F">
        <w:t xml:space="preserve">, proporcionándoles una base sólida para potenciar su competitividad en el mercado. La implementación de estas tecnologías no solo facilita la optimización de operaciones, sino que también conlleva un aumento significativo en la eficiencia operativa, permitiendo a las </w:t>
      </w:r>
      <w:r w:rsidR="00B0401F">
        <w:t>PYMES</w:t>
      </w:r>
      <w:r w:rsidR="00B0401F" w:rsidRPr="00B0401F">
        <w:t xml:space="preserve"> adaptarse con mayor agilidad a las dinámicas demandas del entorno empresarial actual. En este contexto, la transición hacia la digitalización se presenta como un elemento crucial para el desarrollo sostenible de las </w:t>
      </w:r>
      <w:r w:rsidR="00B0401F">
        <w:t>PYMES</w:t>
      </w:r>
      <w:r w:rsidR="00B0401F" w:rsidRPr="00B0401F">
        <w:t xml:space="preserve"> en Colombia, impulsándolas hacia un escenario más avanzado y competitivo en el marco de la cuarta revolución industrial.</w:t>
      </w:r>
    </w:p>
    <w:p w14:paraId="04FFE9C3" w14:textId="028F7787" w:rsidR="00262BD5" w:rsidRDefault="00262BD5" w:rsidP="00262BD5">
      <w:pPr>
        <w:ind w:firstLine="709"/>
      </w:pPr>
      <w:r>
        <w:t xml:space="preserve">Una vez que se logra la exitosa implementación de tecnologías emergentes, se experimenta un aumento significativo en la competitividad en el mercado. Este avance se </w:t>
      </w:r>
      <w:r>
        <w:t>evidencia</w:t>
      </w:r>
      <w:r>
        <w:t xml:space="preserve"> en la disposición de un conjunto más amplio de herramientas, lo que permite abordar de manera más efectiva las necesidades existentes. Esta mejora se refleja en la capacidad de ofrecer una atención más eficiente a los clientes, ya sea en la pronta respuesta a sus solicitudes o en la entrega eficaz de bienes y servicios solicitados. La adopción de tecnologías emergentes no solo amplía </w:t>
      </w:r>
      <w:r>
        <w:t>los</w:t>
      </w:r>
      <w:r>
        <w:t xml:space="preserve"> recursos disponibles, sino que también </w:t>
      </w:r>
      <w:r w:rsidRPr="00262BD5">
        <w:t>optimiza los procesos internos, permitiendo a las empresas responder con agilidad a las demandas cambiantes del mercado</w:t>
      </w:r>
      <w:r>
        <w:t>. Este enfoque fortalecido hacia la eficiencia operativa se traduce directamente en una ventaja competitiva, posicionando a las empresas para destacarse en un entorno comercial dinámico y competitivo. En este sentido, la implementación exitosa de tecnologías emergentes no solo impacta la eficacia interna de la empresa, sino que también influye positivamente en la percepción del cliente y, en última instancia, en su satisfacción.</w:t>
      </w:r>
    </w:p>
    <w:p w14:paraId="07EEDD01" w14:textId="77777777" w:rsidR="009001D5" w:rsidRDefault="009001D5" w:rsidP="009001D5">
      <w:pPr>
        <w:ind w:firstLine="709"/>
      </w:pPr>
    </w:p>
    <w:p w14:paraId="505D45C6" w14:textId="71639511" w:rsidR="009001D5" w:rsidRDefault="009001D5" w:rsidP="001A006F">
      <w:pPr>
        <w:ind w:firstLine="709"/>
      </w:pPr>
      <w:r>
        <w:lastRenderedPageBreak/>
        <w:t>Existen diversos factores adicionales que contribuyen a explicar por qué las PYMES</w:t>
      </w:r>
      <w:r>
        <w:t xml:space="preserve"> </w:t>
      </w:r>
      <w:r w:rsidRPr="009001D5">
        <w:t>no generan una adopción de nuevas tecnologías</w:t>
      </w:r>
      <w:r>
        <w:t>. Estos incluyen la falta de conocimiento, la percepción de costos elevados, las preocupaciones por la seguridad</w:t>
      </w:r>
      <w:r>
        <w:t xml:space="preserve"> de la información</w:t>
      </w:r>
      <w:r>
        <w:t xml:space="preserve">, </w:t>
      </w:r>
      <w:r>
        <w:t>falencias en i</w:t>
      </w:r>
      <w:r>
        <w:t>nfraestructura tecnológica, la resistencia al cambio de métodos establecidos, entre otros. En este escenario, surge como figura clave el ingeniero especializado, cuya labor se basa en una trayectoria continua de formación y experiencia en el campo. Este profesional no solo está capacitado para proporcionar soluciones ante posibles fallas en la infraestructura, sino que también tiene la capacidad de adaptar las tecnologías según las necesidades específicas de la empresa. Además, desempeña un papel esencial en el desarrollo del campo de la seguridad cibernética</w:t>
      </w:r>
      <w:r w:rsidR="001A006F">
        <w:t xml:space="preserve"> ya que esto cuenta como garantía</w:t>
      </w:r>
      <w:r>
        <w:t xml:space="preserve"> de los productos tecnológicos implementados.</w:t>
      </w:r>
    </w:p>
    <w:p w14:paraId="39EE5095" w14:textId="724D7B80" w:rsidR="009001D5" w:rsidRDefault="009001D5" w:rsidP="001A006F">
      <w:pPr>
        <w:ind w:firstLine="709"/>
      </w:pPr>
      <w:r>
        <w:t>La presencia de este ingeniero aborda directamente varios de los obstáculos que impiden a las PYMES abrazar nuevas tecnologías. Su intervención ayuda a superar la falta de conocimiento y la resistencia al cambio al proporcionar soluciones personalizadas y demostrar los beneficios de la implementación tecnológica. Además, al desarrollar la seguridad cibernética como una prioridad, contribuye a mitigar las preocupaciones relacionadas con la seguridad.</w:t>
      </w:r>
    </w:p>
    <w:p w14:paraId="707337D1" w14:textId="61EC4793" w:rsidR="00F9654A" w:rsidRDefault="009001D5" w:rsidP="003A56A3">
      <w:pPr>
        <w:ind w:firstLine="709"/>
      </w:pPr>
      <w:r>
        <w:t xml:space="preserve">Es </w:t>
      </w:r>
      <w:r w:rsidR="001A006F" w:rsidRPr="001A006F">
        <w:t>imprescindible</w:t>
      </w:r>
      <w:r w:rsidR="001A006F" w:rsidRPr="001A006F">
        <w:t xml:space="preserve"> </w:t>
      </w:r>
      <w:r>
        <w:t>que las PYMES reconozcan la necesidad de adquirir bases de conocimiento para superar percepciones negativas sobre los costos, desconocimiento en el área e implementación de nuevos métodos. La apertura a estas nuevas posibilidades no solo abre puertas a la mejora, sino que también posiciona a las empresas en un camino hacia la adaptación y la innovación en un entorno empresarial en constante evolución.</w:t>
      </w:r>
    </w:p>
    <w:p w14:paraId="57D98982" w14:textId="10464E5B" w:rsidR="00F9654A" w:rsidRDefault="00F9654A" w:rsidP="00F9654A">
      <w:pPr>
        <w:ind w:firstLine="709"/>
      </w:pPr>
      <w:r>
        <w:t>Adicional de la necesidad de la digitalización</w:t>
      </w:r>
      <w:r>
        <w:t xml:space="preserve"> </w:t>
      </w:r>
      <w:r>
        <w:t>y del reconocimiento de la utilidad que ofrecen las herramientas tecnológicas, es esencial comprender y aprovechar todas las ayudas disponibles en favor de la mejora y el avance de las PYMES. Estas empresas desempeñan un papel crucial en la economía y proporcionan un respaldo significativo a su desarrollo.</w:t>
      </w:r>
    </w:p>
    <w:p w14:paraId="48832021" w14:textId="6298ECB3" w:rsidR="00F9654A" w:rsidRDefault="00F9654A" w:rsidP="00F9654A">
      <w:pPr>
        <w:ind w:firstLine="709"/>
      </w:pPr>
      <w:r>
        <w:t xml:space="preserve">La falta de conocimiento o una postura negativa frente a determinadas propuestas puede </w:t>
      </w:r>
      <w:r w:rsidR="00571F51">
        <w:t>representarse</w:t>
      </w:r>
      <w:r>
        <w:t xml:space="preserve"> como barreras significativas para el progreso. En este contexto, es fundamental prestar atención a iniciativas como la </w:t>
      </w:r>
      <w:r w:rsidR="00571F51">
        <w:t>identificada</w:t>
      </w:r>
      <w:r>
        <w:t xml:space="preserve"> por </w:t>
      </w:r>
      <w:r w:rsidR="00CA0826">
        <w:t>Valencia et al [3]</w:t>
      </w:r>
      <w:r w:rsidR="00CA0826">
        <w:t xml:space="preserve">, </w:t>
      </w:r>
      <w:r w:rsidR="00571F51">
        <w:t xml:space="preserve">en </w:t>
      </w:r>
      <w:r w:rsidR="008E02B0" w:rsidRPr="008E02B0">
        <w:t>Influencia de la cuarta revolución industrial en Colombia</w:t>
      </w:r>
      <w:r>
        <w:t>, las cuales demandan ser examinadas a fondo e investigadas para comprender a cabalidad sus beneficios.</w:t>
      </w:r>
    </w:p>
    <w:p w14:paraId="199CAA84" w14:textId="20C341A0" w:rsidR="00571F51" w:rsidRPr="00CA0826" w:rsidRDefault="00571F51" w:rsidP="00CA0826">
      <w:pPr>
        <w:ind w:left="680" w:right="680" w:firstLine="709"/>
        <w:rPr>
          <w:sz w:val="20"/>
          <w:szCs w:val="20"/>
        </w:rPr>
      </w:pPr>
      <w:r w:rsidRPr="00CA0826">
        <w:rPr>
          <w:sz w:val="20"/>
          <w:szCs w:val="20"/>
        </w:rPr>
        <w:lastRenderedPageBreak/>
        <w:t>El Departamento Administrativo de ciencia, tecnología e innovación (COLCIENCIAS) es una de las entidades encargadas de propiciar el desarrollo de Colombia a nivel de tecnología y ciencia, de igual forma pretende lograr a nivel empresarial un incremento significativo de empresas que dispongan de un alto nivel innovador tecnológico y de igual forma apoyar con financiación de proyectos de tecnología, ciencia e innovación.</w:t>
      </w:r>
      <w:r w:rsidRPr="00CA0826">
        <w:rPr>
          <w:sz w:val="20"/>
          <w:szCs w:val="20"/>
        </w:rPr>
        <w:t xml:space="preserve"> […] </w:t>
      </w:r>
      <w:r w:rsidRPr="00CA0826">
        <w:rPr>
          <w:sz w:val="20"/>
          <w:szCs w:val="20"/>
        </w:rPr>
        <w:t xml:space="preserve">A pesar de su gran importancia para el país la mayoría de los empresarios colombianos de la PYMES encuestadas desconocen la existencia de la entidad de COLCIENCIAS con un 60%, mientras que el 20% si tiene conocimiento sobre </w:t>
      </w:r>
      <w:r w:rsidR="003A56A3" w:rsidRPr="00CA0826">
        <w:rPr>
          <w:sz w:val="20"/>
          <w:szCs w:val="20"/>
        </w:rPr>
        <w:t>esta</w:t>
      </w:r>
      <w:r w:rsidR="003A56A3">
        <w:rPr>
          <w:sz w:val="20"/>
          <w:szCs w:val="20"/>
        </w:rPr>
        <w:t xml:space="preserve"> [</w:t>
      </w:r>
      <w:r w:rsidR="00CA0826">
        <w:rPr>
          <w:sz w:val="20"/>
          <w:szCs w:val="20"/>
        </w:rPr>
        <w:t>…]</w:t>
      </w:r>
    </w:p>
    <w:p w14:paraId="3AB7FF82" w14:textId="76D04B68" w:rsidR="00F9654A" w:rsidRDefault="00CA0826" w:rsidP="00F9654A">
      <w:pPr>
        <w:ind w:firstLine="709"/>
      </w:pPr>
      <w:r>
        <w:t>Es allí donde e</w:t>
      </w:r>
      <w:r w:rsidR="00F9654A">
        <w:t>ntender en profundidad las diversas ayudas disponibles constituye un componente valioso en el proceso de fortalecimiento de las PYMES. Esto incluye no solo la identificación de herramientas tecnológicas específicas, sino también la exploración de programas de apoyo, subsidios y recursos disponibles para impulsar la adopción de tecnologías y promover la eficiencia operativa. Reconocer y aprovechar estas ayudas no solo allana el camino para una implementación exitosa de tecnologías, sino que también contribuye a potenciar el impacto positivo de las PYMES en la economía local.</w:t>
      </w:r>
    </w:p>
    <w:p w14:paraId="51E5C22D" w14:textId="4AF73A97" w:rsidR="00F9654A" w:rsidRDefault="00F9654A" w:rsidP="00F9654A">
      <w:pPr>
        <w:ind w:firstLine="709"/>
      </w:pPr>
      <w:r>
        <w:t>La búsqueda activa de apoyos y recursos adicionales refleja una mentalidad proactiva por parte de las PYMES</w:t>
      </w:r>
      <w:r>
        <w:t xml:space="preserve"> </w:t>
      </w:r>
      <w:r>
        <w:t>para superar desafíos. Este enfoque no solo beneficia a las empresas individualmente, sino que también contribuye al crecimiento sostenible de la economía en su conjunto, consolidando así el papel fundamental de las PYMES en el tejido empresarial y económico. En este sentido, la conciencia y búsqueda activa de estas ayudas se revela como un paso estratégico para el fortalecimiento y la prosperidad continua de las PYMES en el entorno digital actual.</w:t>
      </w:r>
    </w:p>
    <w:p w14:paraId="2668EE6D" w14:textId="5D934378" w:rsidR="00EE04B8" w:rsidRDefault="003A56A3" w:rsidP="006A0001">
      <w:pPr>
        <w:ind w:firstLine="709"/>
      </w:pPr>
      <w:r>
        <w:t>En síntesis, las tecnologías de la industria 4.0 son una pieza fundamental en la mejora de la productividad para las PYMES, permitiéndoles tener una competitividad mayor gracias a la cantidad de herramientas que disponen y para lograr esto, es necesario inicialmente identificar los beneficios que estas traen, en un segundo momento identificar los desafíos a los que se pueden enfrentar y en un tercer momento poner en marcha el arduo camino de superar estos retos haciendo uso de algunas estrategias mencionadas, logrando dar uso de las tecnologías conforme el caso lo amerite y les permita hacer parte de la competencia en el mercado y no simplemente quedarse rezagado o permitirse opacar por las empresas denominadas como lideres.</w:t>
      </w:r>
    </w:p>
    <w:p w14:paraId="0F52E9D4" w14:textId="77777777" w:rsidR="003A56A3" w:rsidRDefault="003A56A3" w:rsidP="003A56A3">
      <w:pPr>
        <w:ind w:firstLine="709"/>
      </w:pPr>
    </w:p>
    <w:p w14:paraId="2FC6FE55" w14:textId="0017DBEF" w:rsidR="00471B5B" w:rsidRPr="003A56A3" w:rsidRDefault="003A56A3" w:rsidP="00471B5B">
      <w:pPr>
        <w:ind w:firstLine="709"/>
      </w:pPr>
      <w:r>
        <w:lastRenderedPageBreak/>
        <w:t xml:space="preserve">En </w:t>
      </w:r>
      <w:r w:rsidR="001F7CF9">
        <w:t>síntesis</w:t>
      </w:r>
      <w:r>
        <w:t>, las tecnologías de la industria 4.0 emergen como una pieza fundamental en la mejora de la productividad para las PYMES, brindándoles la oportunidad de elevar su competitividad a través de una amplia gama de herramientas disponibles. Para lograr este avance, es imperativo, en primera instancia, identificar claramente los beneficios inherentes a estas tecnologías. En un segundo momento, se hace necesario reconocer y anticipar los desafíos que podrían surgir en su implementación.</w:t>
      </w:r>
      <w:r w:rsidR="001F7CF9">
        <w:t xml:space="preserve"> Como tercer momento, el</w:t>
      </w:r>
      <w:r>
        <w:t xml:space="preserve"> paso crítico es abordar estos desafíos de manera proactiva y estratégica. Esto implica poner en marcha un proceso arduo destinado a superar los obstáculos identificados, haciendo uso de estrategias previamente mencionadas</w:t>
      </w:r>
      <w:r w:rsidR="001F7CF9">
        <w:t xml:space="preserve"> y adicionales a ellas</w:t>
      </w:r>
      <w:r>
        <w:t>. Este enfoque integral no solo permite aprovechar al máximo las tecnologías disponibles, sino que también garantiza que las PYMES se integren de manera efectiva en el mercado competitivo.</w:t>
      </w:r>
      <w:r w:rsidR="001F7CF9">
        <w:t xml:space="preserve"> </w:t>
      </w:r>
      <w:r>
        <w:t>En última instancia, el uso efectivo de las tecnologías de la industria 4.0 no solo implica la adopción de herramientas avanzadas, sino también la capacidad de enfrentar y superar los desafíos que surgen en el camino. Esto posiciona a las PYMES no solo para competir en el mercado, sino también para destacarse y no quedarse rezagadas frente a las empresas consideradas líderes en el sector. La adopción y aplicación estratégica de estas tecnologías representan un paso esencial hacia la sostenibilidad y el crecimiento continuo en la era digital actual</w:t>
      </w:r>
      <w:r w:rsidR="00471B5B">
        <w:t>.</w:t>
      </w:r>
    </w:p>
    <w:p w14:paraId="7F1CD381" w14:textId="77777777" w:rsidR="0032320A" w:rsidRPr="003A56A3" w:rsidRDefault="0032320A" w:rsidP="00A30216">
      <w:pPr>
        <w:ind w:firstLine="709"/>
      </w:pPr>
    </w:p>
    <w:p w14:paraId="6A1C82FA" w14:textId="45E9597E" w:rsidR="00E83EC0" w:rsidRPr="00C24A45" w:rsidRDefault="0032320A" w:rsidP="00471B5B">
      <w:pPr>
        <w:ind w:firstLine="709"/>
      </w:pPr>
      <w:r w:rsidRPr="00C24A45">
        <w:rPr>
          <w:lang w:val="en-US"/>
        </w:rPr>
        <w:t xml:space="preserve">[1] George, Michael L., Sr., Daniel K. Blackwell, Michael L. George Jr., </w:t>
      </w:r>
      <w:r w:rsidR="00F70735" w:rsidRPr="00C24A45">
        <w:rPr>
          <w:lang w:val="en-US"/>
        </w:rPr>
        <w:t>y</w:t>
      </w:r>
      <w:r w:rsidRPr="00C24A45">
        <w:rPr>
          <w:lang w:val="en-US"/>
        </w:rPr>
        <w:t xml:space="preserve"> Dinesh Rajan. “THE PRODUCTIVITY CHALLENGE OF THE TWENTY-FIRST CENTURY.” </w:t>
      </w:r>
      <w:proofErr w:type="spellStart"/>
      <w:r w:rsidR="00F70735" w:rsidRPr="00C24A45">
        <w:rPr>
          <w:lang w:val="en-US"/>
        </w:rPr>
        <w:t>en</w:t>
      </w:r>
      <w:proofErr w:type="spellEnd"/>
      <w:r w:rsidRPr="00C24A45">
        <w:rPr>
          <w:lang w:val="en-US"/>
        </w:rPr>
        <w:t xml:space="preserve"> Lean Six Sigma in the Age of Artificial Intelligence: Harnessing the Power of the Fourth Industrial Revolution</w:t>
      </w:r>
      <w:r w:rsidR="000B7E7C" w:rsidRPr="00C24A45">
        <w:rPr>
          <w:lang w:val="en-US"/>
        </w:rPr>
        <w:t xml:space="preserve"> [En </w:t>
      </w:r>
      <w:proofErr w:type="spellStart"/>
      <w:r w:rsidR="000B7E7C" w:rsidRPr="00C24A45">
        <w:rPr>
          <w:lang w:val="en-US"/>
        </w:rPr>
        <w:t>línea</w:t>
      </w:r>
      <w:proofErr w:type="spellEnd"/>
      <w:r w:rsidR="000B7E7C" w:rsidRPr="00C24A45">
        <w:rPr>
          <w:lang w:val="en-US"/>
        </w:rPr>
        <w:t>]</w:t>
      </w:r>
      <w:r w:rsidRPr="00C24A45">
        <w:rPr>
          <w:lang w:val="en-US"/>
        </w:rPr>
        <w:t>. 1</w:t>
      </w:r>
      <w:r w:rsidR="00C24A45" w:rsidRPr="00C24A45">
        <w:rPr>
          <w:lang w:val="en-US"/>
        </w:rPr>
        <w:t>.a</w:t>
      </w:r>
      <w:r w:rsidRPr="00C24A45">
        <w:rPr>
          <w:lang w:val="en-US"/>
        </w:rPr>
        <w:t xml:space="preserve"> ed. New York: McGraw-Hill Education</w:t>
      </w:r>
      <w:r w:rsidR="00C24A45" w:rsidRPr="00C24A45">
        <w:rPr>
          <w:lang w:val="en-US"/>
        </w:rPr>
        <w:t xml:space="preserve">, </w:t>
      </w:r>
      <w:r w:rsidR="00C24A45" w:rsidRPr="00C24A45">
        <w:rPr>
          <w:lang w:val="en-US"/>
        </w:rPr>
        <w:t>2019</w:t>
      </w:r>
      <w:r w:rsidR="00C24A45" w:rsidRPr="00C24A45">
        <w:rPr>
          <w:lang w:val="en-US"/>
        </w:rPr>
        <w:t xml:space="preserve">, </w:t>
      </w:r>
      <w:r w:rsidR="00C24A45" w:rsidRPr="00C24A45">
        <w:rPr>
          <w:lang w:val="en-US"/>
        </w:rPr>
        <w:t>Cap. 3</w:t>
      </w:r>
      <w:r w:rsidR="00C24A45" w:rsidRPr="00C24A45">
        <w:rPr>
          <w:lang w:val="en-US"/>
        </w:rPr>
        <w:t>, pp. 87-102</w:t>
      </w:r>
      <w:r w:rsidRPr="00C24A45">
        <w:rPr>
          <w:lang w:val="en-US"/>
        </w:rPr>
        <w:t>.</w:t>
      </w:r>
      <w:r w:rsidR="00C24A45" w:rsidRPr="00C24A45">
        <w:rPr>
          <w:lang w:val="en-US"/>
        </w:rPr>
        <w:t xml:space="preserve"> </w:t>
      </w:r>
      <w:r w:rsidR="00C24A45" w:rsidRPr="00C24A45">
        <w:t xml:space="preserve">Disponible en: </w:t>
      </w:r>
      <w:hyperlink r:id="rId10" w:history="1">
        <w:r w:rsidR="00C24A45" w:rsidRPr="00C24A45">
          <w:rPr>
            <w:rStyle w:val="Hipervnculo"/>
          </w:rPr>
          <w:t>https://www-accessengineer</w:t>
        </w:r>
        <w:r w:rsidR="00C24A45" w:rsidRPr="00C24A45">
          <w:rPr>
            <w:rStyle w:val="Hipervnculo"/>
          </w:rPr>
          <w:t>i</w:t>
        </w:r>
        <w:r w:rsidR="00C24A45" w:rsidRPr="00C24A45">
          <w:rPr>
            <w:rStyle w:val="Hipervnculo"/>
          </w:rPr>
          <w:t>nglibrary-com.udea.lookproxy.com/content/book/9781260135039/chapter/chapter3</w:t>
        </w:r>
      </w:hyperlink>
    </w:p>
    <w:p w14:paraId="15FC40B1" w14:textId="2E5D21E0" w:rsidR="00534CD2" w:rsidRPr="00581B0E" w:rsidRDefault="000B7E7C" w:rsidP="00471B5B">
      <w:pPr>
        <w:ind w:firstLine="709"/>
      </w:pPr>
      <w:r>
        <w:t xml:space="preserve">[2] </w:t>
      </w:r>
      <w:r w:rsidR="00581B0E" w:rsidRPr="00581B0E">
        <w:t xml:space="preserve">M. P. Valencia Bermúdez, J. S. Puerta </w:t>
      </w:r>
      <w:proofErr w:type="spellStart"/>
      <w:r w:rsidR="00581B0E" w:rsidRPr="00581B0E">
        <w:t>Bohada</w:t>
      </w:r>
      <w:proofErr w:type="spellEnd"/>
      <w:r w:rsidR="00581B0E" w:rsidRPr="00581B0E">
        <w:t xml:space="preserve">, N. Collazos Ballén, D. Urrea, y C. Cañas, </w:t>
      </w:r>
      <w:r w:rsidR="00581B0E">
        <w:t>“</w:t>
      </w:r>
      <w:r w:rsidR="00581B0E" w:rsidRPr="00581B0E">
        <w:t>Influencia de la cuarta revolución industrial en Colombia</w:t>
      </w:r>
      <w:r w:rsidR="00581B0E">
        <w:t>”</w:t>
      </w:r>
      <w:r w:rsidR="00581B0E" w:rsidRPr="00581B0E">
        <w:t xml:space="preserve">, </w:t>
      </w:r>
      <w:r w:rsidR="00581B0E" w:rsidRPr="00581B0E">
        <w:rPr>
          <w:i/>
          <w:iCs/>
        </w:rPr>
        <w:t>Punto De Vista</w:t>
      </w:r>
      <w:r w:rsidR="00581B0E">
        <w:rPr>
          <w:i/>
          <w:iCs/>
        </w:rPr>
        <w:t xml:space="preserve"> </w:t>
      </w:r>
      <w:r w:rsidR="00581B0E">
        <w:t>[</w:t>
      </w:r>
      <w:r w:rsidRPr="00F70735">
        <w:t>En línea</w:t>
      </w:r>
      <w:r w:rsidR="00581B0E">
        <w:t>]</w:t>
      </w:r>
      <w:r w:rsidR="00581B0E" w:rsidRPr="00581B0E">
        <w:t>, vol. 10, n.º 2 (16), dic</w:t>
      </w:r>
      <w:r w:rsidR="00581B0E">
        <w:t>iembre de</w:t>
      </w:r>
      <w:r w:rsidR="00581B0E" w:rsidRPr="00581B0E">
        <w:t xml:space="preserve"> 2019.</w:t>
      </w:r>
      <w:r w:rsidR="00581B0E">
        <w:t xml:space="preserve"> Disponible en: </w:t>
      </w:r>
      <w:hyperlink r:id="rId11" w:history="1">
        <w:r w:rsidR="00581B0E" w:rsidRPr="00581B0E">
          <w:rPr>
            <w:rStyle w:val="Hipervnculo"/>
          </w:rPr>
          <w:t>https://journal.poligran.edu.co/index.</w:t>
        </w:r>
        <w:r w:rsidR="00581B0E" w:rsidRPr="00581B0E">
          <w:rPr>
            <w:rStyle w:val="Hipervnculo"/>
          </w:rPr>
          <w:t>p</w:t>
        </w:r>
        <w:r w:rsidR="00581B0E" w:rsidRPr="00581B0E">
          <w:rPr>
            <w:rStyle w:val="Hipervnculo"/>
          </w:rPr>
          <w:t>hp/puntodevista/ar</w:t>
        </w:r>
        <w:r w:rsidR="00581B0E" w:rsidRPr="00581B0E">
          <w:rPr>
            <w:rStyle w:val="Hipervnculo"/>
          </w:rPr>
          <w:t>t</w:t>
        </w:r>
        <w:r w:rsidR="00581B0E" w:rsidRPr="00581B0E">
          <w:rPr>
            <w:rStyle w:val="Hipervnculo"/>
          </w:rPr>
          <w:t>icle/view/1419</w:t>
        </w:r>
      </w:hyperlink>
    </w:p>
    <w:sectPr w:rsidR="00534CD2" w:rsidRPr="00581B0E" w:rsidSect="00471B5B">
      <w:pgSz w:w="12240" w:h="15840"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SLY YAILYN CAÑOLA ARBOLEDA" w:date="2023-11-16T13:59:00Z" w:initials="L">
    <w:p w14:paraId="1B57E0BF" w14:textId="15878545" w:rsidR="00753812" w:rsidRDefault="00753812">
      <w:pPr>
        <w:pStyle w:val="Textocomentario"/>
      </w:pPr>
      <w:r>
        <w:rPr>
          <w:rStyle w:val="Refdecomentario"/>
        </w:rPr>
        <w:annotationRef/>
      </w:r>
      <w:r>
        <w:t>Falta página de la cita textual.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57E0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C70AB3" w16cex:dateUtc="2023-11-16T1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57E0BF" w16cid:durableId="26C70A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C3FCD"/>
    <w:multiLevelType w:val="hybridMultilevel"/>
    <w:tmpl w:val="97702036"/>
    <w:lvl w:ilvl="0" w:tplc="4236A79A">
      <w:start w:val="1"/>
      <w:numFmt w:val="upperRoman"/>
      <w:pStyle w:val="Ttulo1"/>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610158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SLY YAILYN CAÑOLA ARBOLEDA">
    <w15:presenceInfo w15:providerId="AD" w15:userId="S::lesly.canola@udea.edu.co::2e8163ea-c457-4d51-a7ca-e6cf59d0ce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1F"/>
    <w:rsid w:val="0000297A"/>
    <w:rsid w:val="000252A3"/>
    <w:rsid w:val="000A3C6F"/>
    <w:rsid w:val="000B7E7C"/>
    <w:rsid w:val="00186D02"/>
    <w:rsid w:val="001A006F"/>
    <w:rsid w:val="001B2B0C"/>
    <w:rsid w:val="001C6D05"/>
    <w:rsid w:val="001D06BE"/>
    <w:rsid w:val="001F0EB4"/>
    <w:rsid w:val="001F7CF9"/>
    <w:rsid w:val="00241E33"/>
    <w:rsid w:val="00251DAC"/>
    <w:rsid w:val="00262BD5"/>
    <w:rsid w:val="002C0536"/>
    <w:rsid w:val="002D5C86"/>
    <w:rsid w:val="002F2EDD"/>
    <w:rsid w:val="0032320A"/>
    <w:rsid w:val="00360FF4"/>
    <w:rsid w:val="003A56A3"/>
    <w:rsid w:val="00405035"/>
    <w:rsid w:val="00414C88"/>
    <w:rsid w:val="00471B5B"/>
    <w:rsid w:val="00496091"/>
    <w:rsid w:val="004F321F"/>
    <w:rsid w:val="00534CD2"/>
    <w:rsid w:val="00535CB4"/>
    <w:rsid w:val="00571F51"/>
    <w:rsid w:val="00581B0E"/>
    <w:rsid w:val="005A05E5"/>
    <w:rsid w:val="005B003B"/>
    <w:rsid w:val="005B73D6"/>
    <w:rsid w:val="00631F74"/>
    <w:rsid w:val="006427CB"/>
    <w:rsid w:val="0065373D"/>
    <w:rsid w:val="006679F7"/>
    <w:rsid w:val="00685745"/>
    <w:rsid w:val="006A0001"/>
    <w:rsid w:val="006C0461"/>
    <w:rsid w:val="006C4BB3"/>
    <w:rsid w:val="006E7E2B"/>
    <w:rsid w:val="00753812"/>
    <w:rsid w:val="007553C1"/>
    <w:rsid w:val="007E2D90"/>
    <w:rsid w:val="007F3D9F"/>
    <w:rsid w:val="007F405A"/>
    <w:rsid w:val="008D7C05"/>
    <w:rsid w:val="008E02B0"/>
    <w:rsid w:val="008F41B1"/>
    <w:rsid w:val="009001D5"/>
    <w:rsid w:val="00935345"/>
    <w:rsid w:val="00A30216"/>
    <w:rsid w:val="00A46804"/>
    <w:rsid w:val="00A87CE5"/>
    <w:rsid w:val="00AB6E2A"/>
    <w:rsid w:val="00AE2BD5"/>
    <w:rsid w:val="00AE53F6"/>
    <w:rsid w:val="00B0401F"/>
    <w:rsid w:val="00B225E2"/>
    <w:rsid w:val="00B5219B"/>
    <w:rsid w:val="00B608A9"/>
    <w:rsid w:val="00B76C92"/>
    <w:rsid w:val="00BD089B"/>
    <w:rsid w:val="00BE1AAE"/>
    <w:rsid w:val="00C24A45"/>
    <w:rsid w:val="00C37FB8"/>
    <w:rsid w:val="00C66F49"/>
    <w:rsid w:val="00C73BD6"/>
    <w:rsid w:val="00CA0826"/>
    <w:rsid w:val="00CA42EB"/>
    <w:rsid w:val="00CA658A"/>
    <w:rsid w:val="00CB018C"/>
    <w:rsid w:val="00D050F8"/>
    <w:rsid w:val="00D2734B"/>
    <w:rsid w:val="00D5089B"/>
    <w:rsid w:val="00D8111D"/>
    <w:rsid w:val="00D87BE0"/>
    <w:rsid w:val="00DA6561"/>
    <w:rsid w:val="00DC1E54"/>
    <w:rsid w:val="00DC6EB3"/>
    <w:rsid w:val="00DF282C"/>
    <w:rsid w:val="00E22405"/>
    <w:rsid w:val="00E456F9"/>
    <w:rsid w:val="00E717DE"/>
    <w:rsid w:val="00E83EC0"/>
    <w:rsid w:val="00EB199F"/>
    <w:rsid w:val="00EB2469"/>
    <w:rsid w:val="00EC3E44"/>
    <w:rsid w:val="00EE04B8"/>
    <w:rsid w:val="00F01494"/>
    <w:rsid w:val="00F2763F"/>
    <w:rsid w:val="00F32823"/>
    <w:rsid w:val="00F70735"/>
    <w:rsid w:val="00F9654A"/>
    <w:rsid w:val="00FB2F58"/>
    <w:rsid w:val="00FB71E6"/>
    <w:rsid w:val="00FC088A"/>
    <w:rsid w:val="00FE23ED"/>
    <w:rsid w:val="00FF36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0FA5"/>
  <w15:chartTrackingRefBased/>
  <w15:docId w15:val="{39F5E601-A6DC-43F5-8CD1-80AD1BB1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s-CO"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B5B"/>
    <w:rPr>
      <w:rFonts w:ascii="Times New Roman" w:hAnsi="Times New Roman"/>
    </w:rPr>
  </w:style>
  <w:style w:type="paragraph" w:styleId="Ttulo1">
    <w:name w:val="heading 1"/>
    <w:basedOn w:val="Normal"/>
    <w:next w:val="Normal"/>
    <w:link w:val="Ttulo1Car"/>
    <w:uiPriority w:val="9"/>
    <w:qFormat/>
    <w:rsid w:val="00471B5B"/>
    <w:pPr>
      <w:keepNext/>
      <w:keepLines/>
      <w:numPr>
        <w:numId w:val="1"/>
      </w:numPr>
      <w:spacing w:before="200" w:line="240" w:lineRule="auto"/>
      <w:jc w:val="center"/>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4CD2"/>
    <w:rPr>
      <w:color w:val="0563C1" w:themeColor="hyperlink"/>
      <w:u w:val="single"/>
    </w:rPr>
  </w:style>
  <w:style w:type="character" w:styleId="Mencinsinresolver">
    <w:name w:val="Unresolved Mention"/>
    <w:basedOn w:val="Fuentedeprrafopredeter"/>
    <w:uiPriority w:val="99"/>
    <w:semiHidden/>
    <w:unhideWhenUsed/>
    <w:rsid w:val="00534CD2"/>
    <w:rPr>
      <w:color w:val="605E5C"/>
      <w:shd w:val="clear" w:color="auto" w:fill="E1DFDD"/>
    </w:rPr>
  </w:style>
  <w:style w:type="character" w:styleId="Refdecomentario">
    <w:name w:val="annotation reference"/>
    <w:basedOn w:val="Fuentedeprrafopredeter"/>
    <w:uiPriority w:val="99"/>
    <w:semiHidden/>
    <w:unhideWhenUsed/>
    <w:rsid w:val="00753812"/>
    <w:rPr>
      <w:sz w:val="16"/>
      <w:szCs w:val="16"/>
    </w:rPr>
  </w:style>
  <w:style w:type="paragraph" w:styleId="Textocomentario">
    <w:name w:val="annotation text"/>
    <w:basedOn w:val="Normal"/>
    <w:link w:val="TextocomentarioCar"/>
    <w:uiPriority w:val="99"/>
    <w:unhideWhenUsed/>
    <w:rsid w:val="00753812"/>
    <w:pPr>
      <w:spacing w:line="240" w:lineRule="auto"/>
    </w:pPr>
    <w:rPr>
      <w:sz w:val="20"/>
      <w:szCs w:val="20"/>
    </w:rPr>
  </w:style>
  <w:style w:type="character" w:customStyle="1" w:styleId="TextocomentarioCar">
    <w:name w:val="Texto comentario Car"/>
    <w:basedOn w:val="Fuentedeprrafopredeter"/>
    <w:link w:val="Textocomentario"/>
    <w:uiPriority w:val="99"/>
    <w:rsid w:val="00753812"/>
    <w:rPr>
      <w:sz w:val="20"/>
      <w:szCs w:val="20"/>
    </w:rPr>
  </w:style>
  <w:style w:type="paragraph" w:styleId="Asuntodelcomentario">
    <w:name w:val="annotation subject"/>
    <w:basedOn w:val="Textocomentario"/>
    <w:next w:val="Textocomentario"/>
    <w:link w:val="AsuntodelcomentarioCar"/>
    <w:uiPriority w:val="99"/>
    <w:semiHidden/>
    <w:unhideWhenUsed/>
    <w:rsid w:val="00753812"/>
    <w:rPr>
      <w:b/>
      <w:bCs/>
    </w:rPr>
  </w:style>
  <w:style w:type="character" w:customStyle="1" w:styleId="AsuntodelcomentarioCar">
    <w:name w:val="Asunto del comentario Car"/>
    <w:basedOn w:val="TextocomentarioCar"/>
    <w:link w:val="Asuntodelcomentario"/>
    <w:uiPriority w:val="99"/>
    <w:semiHidden/>
    <w:rsid w:val="00753812"/>
    <w:rPr>
      <w:b/>
      <w:bCs/>
      <w:sz w:val="20"/>
      <w:szCs w:val="20"/>
    </w:rPr>
  </w:style>
  <w:style w:type="character" w:styleId="Hipervnculovisitado">
    <w:name w:val="FollowedHyperlink"/>
    <w:basedOn w:val="Fuentedeprrafopredeter"/>
    <w:uiPriority w:val="99"/>
    <w:semiHidden/>
    <w:unhideWhenUsed/>
    <w:rsid w:val="00E83EC0"/>
    <w:rPr>
      <w:color w:val="954F72" w:themeColor="followedHyperlink"/>
      <w:u w:val="single"/>
    </w:rPr>
  </w:style>
  <w:style w:type="character" w:customStyle="1" w:styleId="Ttulo1Car">
    <w:name w:val="Título 1 Car"/>
    <w:basedOn w:val="Fuentedeprrafopredeter"/>
    <w:link w:val="Ttulo1"/>
    <w:uiPriority w:val="9"/>
    <w:rsid w:val="00471B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37504">
      <w:bodyDiv w:val="1"/>
      <w:marLeft w:val="0"/>
      <w:marRight w:val="0"/>
      <w:marTop w:val="0"/>
      <w:marBottom w:val="0"/>
      <w:divBdr>
        <w:top w:val="none" w:sz="0" w:space="0" w:color="auto"/>
        <w:left w:val="none" w:sz="0" w:space="0" w:color="auto"/>
        <w:bottom w:val="none" w:sz="0" w:space="0" w:color="auto"/>
        <w:right w:val="none" w:sz="0" w:space="0" w:color="auto"/>
      </w:divBdr>
    </w:div>
    <w:div w:id="1178354008">
      <w:bodyDiv w:val="1"/>
      <w:marLeft w:val="0"/>
      <w:marRight w:val="0"/>
      <w:marTop w:val="0"/>
      <w:marBottom w:val="0"/>
      <w:divBdr>
        <w:top w:val="none" w:sz="0" w:space="0" w:color="auto"/>
        <w:left w:val="none" w:sz="0" w:space="0" w:color="auto"/>
        <w:bottom w:val="none" w:sz="0" w:space="0" w:color="auto"/>
        <w:right w:val="none" w:sz="0" w:space="0" w:color="auto"/>
      </w:divBdr>
    </w:div>
    <w:div w:id="1229344952">
      <w:bodyDiv w:val="1"/>
      <w:marLeft w:val="0"/>
      <w:marRight w:val="0"/>
      <w:marTop w:val="0"/>
      <w:marBottom w:val="0"/>
      <w:divBdr>
        <w:top w:val="none" w:sz="0" w:space="0" w:color="auto"/>
        <w:left w:val="none" w:sz="0" w:space="0" w:color="auto"/>
        <w:bottom w:val="none" w:sz="0" w:space="0" w:color="auto"/>
        <w:right w:val="none" w:sz="0" w:space="0" w:color="auto"/>
      </w:divBdr>
      <w:divsChild>
        <w:div w:id="1420831878">
          <w:marLeft w:val="0"/>
          <w:marRight w:val="0"/>
          <w:marTop w:val="0"/>
          <w:marBottom w:val="0"/>
          <w:divBdr>
            <w:top w:val="single" w:sz="2" w:space="0" w:color="D9D9E3"/>
            <w:left w:val="single" w:sz="2" w:space="0" w:color="D9D9E3"/>
            <w:bottom w:val="single" w:sz="2" w:space="0" w:color="D9D9E3"/>
            <w:right w:val="single" w:sz="2" w:space="0" w:color="D9D9E3"/>
          </w:divBdr>
          <w:divsChild>
            <w:div w:id="508100707">
              <w:marLeft w:val="0"/>
              <w:marRight w:val="0"/>
              <w:marTop w:val="0"/>
              <w:marBottom w:val="0"/>
              <w:divBdr>
                <w:top w:val="single" w:sz="2" w:space="0" w:color="D9D9E3"/>
                <w:left w:val="single" w:sz="2" w:space="0" w:color="D9D9E3"/>
                <w:bottom w:val="single" w:sz="2" w:space="0" w:color="D9D9E3"/>
                <w:right w:val="single" w:sz="2" w:space="0" w:color="D9D9E3"/>
              </w:divBdr>
              <w:divsChild>
                <w:div w:id="177500826">
                  <w:marLeft w:val="0"/>
                  <w:marRight w:val="0"/>
                  <w:marTop w:val="0"/>
                  <w:marBottom w:val="0"/>
                  <w:divBdr>
                    <w:top w:val="single" w:sz="2" w:space="0" w:color="D9D9E3"/>
                    <w:left w:val="single" w:sz="2" w:space="0" w:color="D9D9E3"/>
                    <w:bottom w:val="single" w:sz="2" w:space="0" w:color="D9D9E3"/>
                    <w:right w:val="single" w:sz="2" w:space="0" w:color="D9D9E3"/>
                  </w:divBdr>
                  <w:divsChild>
                    <w:div w:id="1065681056">
                      <w:marLeft w:val="0"/>
                      <w:marRight w:val="0"/>
                      <w:marTop w:val="0"/>
                      <w:marBottom w:val="0"/>
                      <w:divBdr>
                        <w:top w:val="single" w:sz="2" w:space="0" w:color="D9D9E3"/>
                        <w:left w:val="single" w:sz="2" w:space="0" w:color="D9D9E3"/>
                        <w:bottom w:val="single" w:sz="2" w:space="0" w:color="D9D9E3"/>
                        <w:right w:val="single" w:sz="2" w:space="0" w:color="D9D9E3"/>
                      </w:divBdr>
                      <w:divsChild>
                        <w:div w:id="1094012391">
                          <w:marLeft w:val="0"/>
                          <w:marRight w:val="0"/>
                          <w:marTop w:val="0"/>
                          <w:marBottom w:val="0"/>
                          <w:divBdr>
                            <w:top w:val="none" w:sz="0" w:space="0" w:color="auto"/>
                            <w:left w:val="none" w:sz="0" w:space="0" w:color="auto"/>
                            <w:bottom w:val="none" w:sz="0" w:space="0" w:color="auto"/>
                            <w:right w:val="none" w:sz="0" w:space="0" w:color="auto"/>
                          </w:divBdr>
                          <w:divsChild>
                            <w:div w:id="5313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190472">
                                  <w:marLeft w:val="0"/>
                                  <w:marRight w:val="0"/>
                                  <w:marTop w:val="0"/>
                                  <w:marBottom w:val="0"/>
                                  <w:divBdr>
                                    <w:top w:val="single" w:sz="2" w:space="0" w:color="D9D9E3"/>
                                    <w:left w:val="single" w:sz="2" w:space="0" w:color="D9D9E3"/>
                                    <w:bottom w:val="single" w:sz="2" w:space="0" w:color="D9D9E3"/>
                                    <w:right w:val="single" w:sz="2" w:space="0" w:color="D9D9E3"/>
                                  </w:divBdr>
                                  <w:divsChild>
                                    <w:div w:id="124465861">
                                      <w:marLeft w:val="0"/>
                                      <w:marRight w:val="0"/>
                                      <w:marTop w:val="0"/>
                                      <w:marBottom w:val="0"/>
                                      <w:divBdr>
                                        <w:top w:val="single" w:sz="2" w:space="0" w:color="D9D9E3"/>
                                        <w:left w:val="single" w:sz="2" w:space="0" w:color="D9D9E3"/>
                                        <w:bottom w:val="single" w:sz="2" w:space="0" w:color="D9D9E3"/>
                                        <w:right w:val="single" w:sz="2" w:space="0" w:color="D9D9E3"/>
                                      </w:divBdr>
                                      <w:divsChild>
                                        <w:div w:id="2025131483">
                                          <w:marLeft w:val="0"/>
                                          <w:marRight w:val="0"/>
                                          <w:marTop w:val="0"/>
                                          <w:marBottom w:val="0"/>
                                          <w:divBdr>
                                            <w:top w:val="single" w:sz="2" w:space="0" w:color="D9D9E3"/>
                                            <w:left w:val="single" w:sz="2" w:space="0" w:color="D9D9E3"/>
                                            <w:bottom w:val="single" w:sz="2" w:space="0" w:color="D9D9E3"/>
                                            <w:right w:val="single" w:sz="2" w:space="0" w:color="D9D9E3"/>
                                          </w:divBdr>
                                          <w:divsChild>
                                            <w:div w:id="1291395191">
                                              <w:marLeft w:val="0"/>
                                              <w:marRight w:val="0"/>
                                              <w:marTop w:val="0"/>
                                              <w:marBottom w:val="0"/>
                                              <w:divBdr>
                                                <w:top w:val="single" w:sz="2" w:space="0" w:color="D9D9E3"/>
                                                <w:left w:val="single" w:sz="2" w:space="0" w:color="D9D9E3"/>
                                                <w:bottom w:val="single" w:sz="2" w:space="0" w:color="D9D9E3"/>
                                                <w:right w:val="single" w:sz="2" w:space="0" w:color="D9D9E3"/>
                                              </w:divBdr>
                                              <w:divsChild>
                                                <w:div w:id="61103499">
                                                  <w:marLeft w:val="0"/>
                                                  <w:marRight w:val="0"/>
                                                  <w:marTop w:val="0"/>
                                                  <w:marBottom w:val="0"/>
                                                  <w:divBdr>
                                                    <w:top w:val="single" w:sz="2" w:space="0" w:color="D9D9E3"/>
                                                    <w:left w:val="single" w:sz="2" w:space="0" w:color="D9D9E3"/>
                                                    <w:bottom w:val="single" w:sz="2" w:space="0" w:color="D9D9E3"/>
                                                    <w:right w:val="single" w:sz="2" w:space="0" w:color="D9D9E3"/>
                                                  </w:divBdr>
                                                  <w:divsChild>
                                                    <w:div w:id="120431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7460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journal.poligran.edu.co/index.php/puntodevista/article/view/1419" TargetMode="External"/><Relationship Id="rId5" Type="http://schemas.openxmlformats.org/officeDocument/2006/relationships/webSettings" Target="webSettings.xml"/><Relationship Id="rId10" Type="http://schemas.openxmlformats.org/officeDocument/2006/relationships/hyperlink" Target="https://www-accessengineeringlibrary-com.udea.lookproxy.com/content/book/9781260135039/chapter/chapter3"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03FF-79AC-4E7C-A8BC-6C51176F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6</Pages>
  <Words>2386</Words>
  <Characters>13128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OCHOA MOLINA</dc:creator>
  <cp:keywords/>
  <dc:description/>
  <cp:lastModifiedBy>SEBASTIAN  OCHOA MOLINA</cp:lastModifiedBy>
  <cp:revision>13</cp:revision>
  <dcterms:created xsi:type="dcterms:W3CDTF">2023-11-16T21:28:00Z</dcterms:created>
  <dcterms:modified xsi:type="dcterms:W3CDTF">2023-11-20T01:18:00Z</dcterms:modified>
</cp:coreProperties>
</file>