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1D10A2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Consider the simple hypothetical example in Table 1.  This example involves eleven patients each of whom is infected with coronavirus. There are two treatments: ventilators</w:t>
      </w:r>
      <w:r w:rsidR="0016386A">
        <w:rPr>
          <w:rFonts w:asciiTheme="minorHAnsi" w:hAnsiTheme="minorHAnsi" w:cstheme="minorHAnsi"/>
          <w:sz w:val="24"/>
          <w:szCs w:val="24"/>
        </w:rPr>
        <w:t xml:space="preserve"> (Y1)</w:t>
      </w:r>
      <w:r w:rsidRPr="00BE6D0D">
        <w:rPr>
          <w:rFonts w:asciiTheme="minorHAnsi" w:hAnsiTheme="minorHAnsi" w:cstheme="minorHAnsi"/>
          <w:sz w:val="24"/>
          <w:szCs w:val="24"/>
        </w:rPr>
        <w:t xml:space="preserve"> and bedrest</w:t>
      </w:r>
      <w:r w:rsidR="0016386A">
        <w:rPr>
          <w:rFonts w:asciiTheme="minorHAnsi" w:hAnsiTheme="minorHAnsi" w:cstheme="minorHAnsi"/>
          <w:sz w:val="24"/>
          <w:szCs w:val="24"/>
        </w:rPr>
        <w:t xml:space="preserve"> (Y0)</w:t>
      </w:r>
      <w:r w:rsidRPr="00BE6D0D">
        <w:rPr>
          <w:rFonts w:asciiTheme="minorHAnsi" w:hAnsiTheme="minorHAnsi" w:cstheme="minorHAnsi"/>
          <w:sz w:val="24"/>
          <w:szCs w:val="24"/>
        </w:rPr>
        <w:t xml:space="preserve">.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1C84EAC7"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c>
          <w:tcPr>
            <w:tcW w:w="511" w:type="dxa"/>
          </w:tcPr>
          <w:p w14:paraId="044140CD" w14:textId="09AE5A2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565FA4E7" w14:textId="5C52E94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1248D103"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4A97C691" w14:textId="00C49C4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BA98F41" w14:textId="73CD49E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2FA45D2"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119946F8" w14:textId="11AB0B2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0444460" w14:textId="2599D4DA"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1B37F734"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37FBA13B" w14:textId="69D8CBE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B651ADE" w14:textId="19877B4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005F036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1C0DEC49" w14:textId="3D148E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5D2E7BCB" w14:textId="7D9007B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47F4608C"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9558CB" w14:textId="58AE20B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87C52CA" w14:textId="1985AE1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04221A4B"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14A02E69" w14:textId="2B294C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60213222" w14:textId="38734B8B"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5022FF85"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34FE229C" w14:textId="6A6B32D6"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14827DA9" w14:textId="5A5CC17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69B16FA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c>
          <w:tcPr>
            <w:tcW w:w="511" w:type="dxa"/>
          </w:tcPr>
          <w:p w14:paraId="234DC39C" w14:textId="2D8A259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955EA78" w14:textId="3375EDE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57152771"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260A175D" w14:textId="27D1EB2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2F103E" w14:textId="4E34BFA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619708B8"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7486C326" w14:textId="3B360477"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0F9748D" w14:textId="7EE65EB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299B5783" w:rsidR="00643DA3" w:rsidRDefault="00643DA3" w:rsidP="0016386A">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6812FAA0" w14:textId="05564C37" w:rsidR="0016386A" w:rsidRPr="00BE6D0D" w:rsidRDefault="0016386A" w:rsidP="0016386A">
      <w:pPr>
        <w:pStyle w:val="PlainText"/>
        <w:jc w:val="both"/>
        <w:rPr>
          <w:rFonts w:asciiTheme="minorHAnsi" w:hAnsiTheme="minorHAnsi" w:cstheme="minorHAnsi"/>
          <w:sz w:val="24"/>
          <w:szCs w:val="24"/>
        </w:rPr>
      </w:pPr>
      <w:r>
        <w:rPr>
          <w:rFonts w:asciiTheme="minorHAnsi" w:hAnsiTheme="minorHAnsi" w:cstheme="minorHAnsi"/>
          <w:sz w:val="24"/>
          <w:szCs w:val="24"/>
        </w:rPr>
        <w:t>SUTVA can be violated multiple ways for Covid-19 treatments. For example,</w:t>
      </w:r>
      <w:r w:rsidR="00AC0B14">
        <w:rPr>
          <w:rFonts w:asciiTheme="minorHAnsi" w:hAnsiTheme="minorHAnsi" w:cstheme="minorHAnsi"/>
          <w:sz w:val="24"/>
          <w:szCs w:val="24"/>
        </w:rPr>
        <w:t xml:space="preserve"> it is easy to see</w:t>
      </w:r>
      <w:r>
        <w:rPr>
          <w:rFonts w:asciiTheme="minorHAnsi" w:hAnsiTheme="minorHAnsi" w:cstheme="minorHAnsi"/>
          <w:sz w:val="24"/>
          <w:szCs w:val="24"/>
        </w:rPr>
        <w:t xml:space="preserve"> the homogeneous dose assumption </w:t>
      </w:r>
      <w:r w:rsidR="00AC0B14">
        <w:rPr>
          <w:rFonts w:asciiTheme="minorHAnsi" w:hAnsiTheme="minorHAnsi" w:cstheme="minorHAnsi"/>
          <w:sz w:val="24"/>
          <w:szCs w:val="24"/>
        </w:rPr>
        <w:t xml:space="preserve">does not hold in real life because the quality and the likelihood that a patient will receive a ventilator is correlated with their wealth. Since different quality levels in the treatment may affect the potential outcomes, the homogeneous doses assumptions cannot be said to be an accurate description of reality. Another way SUTVA is routinely violated is in its Partial Equilibrium assumption. Government are finding that scaling up the availability of treatments is very expensive because every country is trying to stock up on ventilators. That limits the applicability of the potential outcomes model because governments may resort to use lower quality ventilators to meet demand, and thus violate the homogeneous dose assumption. Finally, because of Covid-19 infectious nature, </w:t>
      </w:r>
      <w:proofErr w:type="gramStart"/>
      <w:r w:rsidR="00AC0B14">
        <w:rPr>
          <w:rFonts w:asciiTheme="minorHAnsi" w:hAnsiTheme="minorHAnsi" w:cstheme="minorHAnsi"/>
          <w:sz w:val="24"/>
          <w:szCs w:val="24"/>
        </w:rPr>
        <w:t>it is clear that there</w:t>
      </w:r>
      <w:proofErr w:type="gramEnd"/>
      <w:r w:rsidR="00AC0B14">
        <w:rPr>
          <w:rFonts w:asciiTheme="minorHAnsi" w:hAnsiTheme="minorHAnsi" w:cstheme="minorHAnsi"/>
          <w:sz w:val="24"/>
          <w:szCs w:val="24"/>
        </w:rPr>
        <w:t xml:space="preserve"> are externalities affecting the potential outcomes of individuals. When an individual receives ventilator treatment, they are no longer infecting other </w:t>
      </w:r>
      <w:r w:rsidR="00AC0B14">
        <w:rPr>
          <w:rFonts w:asciiTheme="minorHAnsi" w:hAnsiTheme="minorHAnsi" w:cstheme="minorHAnsi"/>
          <w:sz w:val="24"/>
          <w:szCs w:val="24"/>
        </w:rPr>
        <w:lastRenderedPageBreak/>
        <w:t>people on the street, so the potential outcome of not receiving treatment is affected by the degree to which sick people receive treatment.</w:t>
      </w:r>
    </w:p>
    <w:p w14:paraId="2738605E" w14:textId="77777777" w:rsidR="00AC0B14" w:rsidRDefault="00AC0B14" w:rsidP="00AC0B14">
      <w:pPr>
        <w:pStyle w:val="PlainText"/>
        <w:jc w:val="both"/>
        <w:rPr>
          <w:rFonts w:asciiTheme="minorHAnsi" w:hAnsiTheme="minorHAnsi" w:cstheme="minorHAnsi"/>
          <w:sz w:val="24"/>
          <w:szCs w:val="24"/>
        </w:rPr>
      </w:pPr>
    </w:p>
    <w:p w14:paraId="76C6560A" w14:textId="0E1C421B" w:rsidR="00E15A30" w:rsidRPr="00BE6D0D" w:rsidRDefault="00E15A30"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r w:rsidR="00AC0B14">
        <w:rPr>
          <w:rFonts w:asciiTheme="minorHAnsi" w:hAnsiTheme="minorHAnsi" w:cstheme="minorHAnsi"/>
          <w:sz w:val="24"/>
          <w:szCs w:val="24"/>
        </w:rPr>
        <w:t xml:space="preserve"> (Done in the table)</w:t>
      </w:r>
    </w:p>
    <w:p w14:paraId="2E425B09" w14:textId="77777777" w:rsidR="00423BE5" w:rsidRDefault="00423BE5" w:rsidP="00423BE5">
      <w:pPr>
        <w:pStyle w:val="PlainText"/>
        <w:jc w:val="both"/>
        <w:rPr>
          <w:rFonts w:asciiTheme="minorHAnsi" w:hAnsiTheme="minorHAnsi" w:cstheme="minorHAnsi"/>
          <w:sz w:val="24"/>
          <w:szCs w:val="24"/>
        </w:rPr>
      </w:pPr>
    </w:p>
    <w:p w14:paraId="31DFA915" w14:textId="2BE3CF9F"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7BBC14D1" w14:textId="77777777" w:rsidR="00423BE5" w:rsidRDefault="00423BE5" w:rsidP="00423BE5">
      <w:pPr>
        <w:pStyle w:val="ListParagraph"/>
        <w:rPr>
          <w:rFonts w:asciiTheme="minorHAnsi" w:hAnsiTheme="minorHAnsi" w:cstheme="minorHAnsi"/>
          <w:sz w:val="24"/>
          <w:szCs w:val="24"/>
        </w:rPr>
      </w:pPr>
    </w:p>
    <w:p w14:paraId="5DA0C540" w14:textId="56302C39"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The average treatment effect of ventilators (ATE) (assuming it is D=1) is -0.54 years. That means that on average, ventilators are detrimental to life expectancy when compared to bed rest (assuming bed rest is D=0). That means on average, the bed rest treatment is more efficient.</w:t>
      </w:r>
    </w:p>
    <w:p w14:paraId="56DBBFBF" w14:textId="77777777" w:rsidR="00423BE5" w:rsidRPr="00BE6D0D" w:rsidRDefault="00423BE5" w:rsidP="00423BE5">
      <w:pPr>
        <w:pStyle w:val="PlainText"/>
        <w:ind w:left="720"/>
        <w:jc w:val="both"/>
        <w:rPr>
          <w:rFonts w:asciiTheme="minorHAnsi" w:hAnsiTheme="minorHAnsi" w:cstheme="minorHAnsi"/>
          <w:sz w:val="24"/>
          <w:szCs w:val="24"/>
        </w:rPr>
      </w:pPr>
    </w:p>
    <w:p w14:paraId="6C665062" w14:textId="66CDBE52"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 xml:space="preserve">Suppose the “perfect doctor” knows each patient’s potential outcomes and as a result chooses the best treatment for each patient. If she assigns each patient to the treatment more beneficial for that patient, which patients will receive </w:t>
      </w:r>
      <w:proofErr w:type="gramStart"/>
      <w:r w:rsidRPr="00BE6D0D">
        <w:rPr>
          <w:rFonts w:asciiTheme="minorHAnsi" w:hAnsiTheme="minorHAnsi" w:cstheme="minorHAnsi"/>
          <w:sz w:val="24"/>
          <w:szCs w:val="24"/>
        </w:rPr>
        <w:t>ventilators</w:t>
      </w:r>
      <w:proofErr w:type="gramEnd"/>
      <w:r w:rsidRPr="00BE6D0D">
        <w:rPr>
          <w:rFonts w:asciiTheme="minorHAnsi" w:hAnsiTheme="minorHAnsi" w:cstheme="minorHAnsi"/>
          <w:sz w:val="24"/>
          <w:szCs w:val="24"/>
        </w:rPr>
        <w:t xml:space="preserve">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r w:rsidR="00423BE5">
        <w:rPr>
          <w:rFonts w:asciiTheme="minorHAnsi" w:hAnsiTheme="minorHAnsi" w:cstheme="minorHAnsi"/>
          <w:sz w:val="24"/>
          <w:szCs w:val="24"/>
        </w:rPr>
        <w:t xml:space="preserve"> (Done in the table)</w:t>
      </w:r>
    </w:p>
    <w:p w14:paraId="7E0B3038" w14:textId="77777777" w:rsidR="00423BE5" w:rsidRPr="00BE6D0D" w:rsidRDefault="00423BE5" w:rsidP="00423BE5">
      <w:pPr>
        <w:pStyle w:val="PlainText"/>
        <w:jc w:val="both"/>
        <w:rPr>
          <w:rFonts w:asciiTheme="minorHAnsi" w:hAnsiTheme="minorHAnsi" w:cstheme="minorHAnsi"/>
          <w:sz w:val="24"/>
          <w:szCs w:val="24"/>
        </w:rPr>
      </w:pPr>
    </w:p>
    <w:p w14:paraId="2C26C3ED" w14:textId="55C5BC4D"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2AB245A2" w14:textId="77777777" w:rsidR="00423BE5" w:rsidRDefault="00423BE5" w:rsidP="00423BE5">
      <w:pPr>
        <w:pStyle w:val="ListParagraph"/>
        <w:rPr>
          <w:rFonts w:asciiTheme="minorHAnsi" w:hAnsiTheme="minorHAnsi" w:cstheme="minorHAnsi"/>
          <w:sz w:val="24"/>
          <w:szCs w:val="24"/>
        </w:rPr>
      </w:pPr>
    </w:p>
    <w:p w14:paraId="3886DC36" w14:textId="3AD43916"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SDO = </w:t>
      </w:r>
      <w:r w:rsidR="00D4508D">
        <w:rPr>
          <w:rFonts w:asciiTheme="minorHAnsi" w:hAnsiTheme="minorHAnsi" w:cstheme="minorHAnsi"/>
          <w:sz w:val="24"/>
          <w:szCs w:val="24"/>
        </w:rPr>
        <w:t>0.85 years</w:t>
      </w:r>
    </w:p>
    <w:p w14:paraId="2748FACD" w14:textId="2DBD4457" w:rsidR="00D4508D" w:rsidRDefault="00D4508D"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The simple difference in outcomes is substantially different form the ATE; they have opposite signs and the magnitude of the SDO is nearly double that of the ATE.</w:t>
      </w:r>
    </w:p>
    <w:p w14:paraId="0B1C0454" w14:textId="77777777" w:rsidR="00423BE5" w:rsidRPr="00BE6D0D" w:rsidRDefault="00423BE5" w:rsidP="00423BE5">
      <w:pPr>
        <w:pStyle w:val="PlainText"/>
        <w:ind w:left="720"/>
        <w:jc w:val="both"/>
        <w:rPr>
          <w:rFonts w:asciiTheme="minorHAnsi" w:hAnsiTheme="minorHAnsi" w:cstheme="minorHAnsi"/>
          <w:sz w:val="24"/>
          <w:szCs w:val="24"/>
        </w:rPr>
      </w:pPr>
    </w:p>
    <w:p w14:paraId="66372C8B" w14:textId="7114FBBF" w:rsidR="003367D6" w:rsidRDefault="00643DA3" w:rsidP="00D4508D">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4E66F4D" w14:textId="77777777" w:rsidR="001012BC" w:rsidRDefault="001012BC" w:rsidP="00D4508D">
      <w:pPr>
        <w:pStyle w:val="PlainText"/>
        <w:ind w:left="720"/>
        <w:jc w:val="both"/>
        <w:rPr>
          <w:rFonts w:asciiTheme="minorHAnsi" w:hAnsiTheme="minorHAnsi" w:cstheme="minorHAnsi"/>
          <w:sz w:val="24"/>
          <w:szCs w:val="24"/>
        </w:rPr>
      </w:pPr>
    </w:p>
    <w:p w14:paraId="4D0AC6DF" w14:textId="29EC9A41" w:rsidR="00D4508D" w:rsidRDefault="00D4508D"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ATT= 4 years. ATU =-3.14</w:t>
      </w:r>
      <w:r w:rsidR="001012BC">
        <w:rPr>
          <w:rFonts w:asciiTheme="minorHAnsi" w:hAnsiTheme="minorHAnsi" w:cstheme="minorHAnsi"/>
          <w:sz w:val="24"/>
          <w:szCs w:val="24"/>
        </w:rPr>
        <w:t xml:space="preserve"> years.</w:t>
      </w:r>
    </w:p>
    <w:p w14:paraId="3986C171" w14:textId="6CC8A960" w:rsidR="001012BC" w:rsidRDefault="001012BC"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Once again, ATT and ATU are very different from each other, and form ATE and SDO. First, ATT and ATU have much bigger magnitudes than ATE and SDE: more than 4 times as big in absolute values.  The difference between each other was to be expected since the treatment is perfectly correlated to the sign of the treatment effect.  ATT and SDO share the same sign, while both ATU and ATE are negative.</w:t>
      </w:r>
    </w:p>
    <w:p w14:paraId="6916C767" w14:textId="77777777" w:rsidR="001012BC" w:rsidRPr="00BE6D0D" w:rsidRDefault="001012BC" w:rsidP="00D4508D">
      <w:pPr>
        <w:pStyle w:val="PlainText"/>
        <w:ind w:left="720"/>
        <w:jc w:val="both"/>
        <w:rPr>
          <w:rFonts w:asciiTheme="minorHAnsi" w:hAnsiTheme="minorHAnsi" w:cstheme="minorHAnsi"/>
          <w:sz w:val="24"/>
          <w:szCs w:val="24"/>
        </w:rPr>
      </w:pPr>
    </w:p>
    <w:p w14:paraId="6DB4BB57" w14:textId="67B3FCA6" w:rsidR="00643DA3" w:rsidRDefault="00643DA3" w:rsidP="001012BC">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7EF05E44" w14:textId="760FBF3C"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SDO = ATE + Selection bias+ Heterogeneous Treatment Effect Bias</w:t>
      </w:r>
    </w:p>
    <w:p w14:paraId="552863FF" w14:textId="16673C65"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Selection Bias =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oMath>
    </w:p>
    <w:p w14:paraId="11849F8C" w14:textId="442AF55D"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m:t>
                </m:r>
                <m:r>
                  <w:rPr>
                    <w:rFonts w:ascii="Cambria Math" w:hAnsi="Cambria Math" w:cstheme="minorHAnsi"/>
                    <w:sz w:val="24"/>
                    <w:szCs w:val="24"/>
                  </w:rPr>
                  <m:t>0</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e>
        </m:d>
      </m:oMath>
    </w:p>
    <w:p w14:paraId="3F13BB1D" w14:textId="59216EAB"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*(ATT-ATU)</m:t>
        </m:r>
      </m:oMath>
    </w:p>
    <w:p w14:paraId="2384A18A" w14:textId="6794117E" w:rsidR="009918C3"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r>
    </w:p>
    <w:p w14:paraId="366FECCF" w14:textId="43B008FF"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lastRenderedPageBreak/>
        <w:tab/>
        <w:t>SDO calculated directly = 0.85</w:t>
      </w:r>
    </w:p>
    <w:p w14:paraId="5355F40E" w14:textId="72FF8FD5"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SDO calculated via identity = -0.54 + (-3.14) + </w:t>
      </w:r>
      <w:r w:rsidR="00404FAD">
        <w:rPr>
          <w:rFonts w:asciiTheme="minorHAnsi" w:hAnsiTheme="minorHAnsi" w:cstheme="minorHAnsi"/>
          <w:sz w:val="24"/>
          <w:szCs w:val="24"/>
        </w:rPr>
        <w:t>(0.63*7.14)</w:t>
      </w:r>
      <w:r>
        <w:rPr>
          <w:rFonts w:asciiTheme="minorHAnsi" w:hAnsiTheme="minorHAnsi" w:cstheme="minorHAnsi"/>
          <w:sz w:val="24"/>
          <w:szCs w:val="24"/>
        </w:rPr>
        <w:t xml:space="preserve"> =0.85 </w:t>
      </w:r>
      <w:proofErr w:type="spellStart"/>
      <w:r>
        <w:rPr>
          <w:rFonts w:asciiTheme="minorHAnsi" w:hAnsiTheme="minorHAnsi" w:cstheme="minorHAnsi"/>
          <w:sz w:val="24"/>
          <w:szCs w:val="24"/>
        </w:rPr>
        <w:t>q.e.d</w:t>
      </w:r>
      <w:proofErr w:type="spellEnd"/>
    </w:p>
    <w:p w14:paraId="5A80E469" w14:textId="22EAC026" w:rsidR="00404FAD" w:rsidRDefault="00404FAD"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Note that Selection bias equals ATU because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oMath>
      <w:r>
        <w:rPr>
          <w:rFonts w:asciiTheme="minorHAnsi" w:hAnsiTheme="minorHAnsi" w:cstheme="minorHAnsi"/>
          <w:sz w:val="24"/>
          <w:szCs w:val="24"/>
        </w:rPr>
        <w:t>.</w:t>
      </w:r>
    </w:p>
    <w:p w14:paraId="22DA2EB9" w14:textId="189F09A7" w:rsidR="00404FAD" w:rsidRPr="00BE6D0D" w:rsidRDefault="00404FAD" w:rsidP="00400D8C">
      <w:pPr>
        <w:pStyle w:val="PlainText"/>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800B1B"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800B1B"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800B1B"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800B1B"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800B1B"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AC0B14">
      <w:pPr>
        <w:pStyle w:val="PlainText"/>
        <w:numPr>
          <w:ilvl w:val="0"/>
          <w:numId w:val="2"/>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w:t>
      </w:r>
      <w:proofErr w:type="gramStart"/>
      <w:r>
        <w:rPr>
          <w:rFonts w:asciiTheme="minorHAnsi" w:hAnsiTheme="minorHAnsi" w:cstheme="minorHAnsi"/>
          <w:sz w:val="24"/>
          <w:szCs w:val="24"/>
        </w:rPr>
        <w:t>aren’t</w:t>
      </w:r>
      <w:proofErr w:type="gramEnd"/>
      <w:r>
        <w:rPr>
          <w:rFonts w:asciiTheme="minorHAnsi" w:hAnsiTheme="minorHAnsi" w:cstheme="minorHAnsi"/>
          <w:sz w:val="24"/>
          <w:szCs w:val="24"/>
        </w:rPr>
        <w:t xml:space="preserve"> limited to merely data on patients. </w:t>
      </w:r>
    </w:p>
    <w:p w14:paraId="564B7710" w14:textId="53D56587" w:rsidR="00643DA3" w:rsidRPr="00BE6D0D" w:rsidRDefault="00EF5060"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 xml:space="preserve">Assume that forgiveness is </w:t>
      </w:r>
      <w:proofErr w:type="gramStart"/>
      <w:r w:rsidR="00643DA3" w:rsidRPr="00BE6D0D">
        <w:rPr>
          <w:rFonts w:asciiTheme="minorHAnsi" w:hAnsiTheme="minorHAnsi" w:cstheme="minorHAnsi"/>
          <w:sz w:val="24"/>
          <w:szCs w:val="24"/>
        </w:rPr>
        <w:t>binary</w:t>
      </w:r>
      <w:proofErr w:type="gramEnd"/>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w:t>
      </w:r>
      <w:proofErr w:type="gramStart"/>
      <w:r w:rsidR="004036C5">
        <w:rPr>
          <w:rFonts w:asciiTheme="minorHAnsi" w:hAnsiTheme="minorHAnsi" w:cstheme="minorHAnsi"/>
          <w:sz w:val="24"/>
          <w:szCs w:val="24"/>
        </w:rPr>
        <w:t>opened up</w:t>
      </w:r>
      <w:proofErr w:type="gramEnd"/>
      <w:r w:rsidR="004036C5">
        <w:rPr>
          <w:rFonts w:asciiTheme="minorHAnsi" w:hAnsiTheme="minorHAnsi" w:cstheme="minorHAnsi"/>
          <w:sz w:val="24"/>
          <w:szCs w:val="24"/>
        </w:rPr>
        <w:t xml:space="preserve">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7CFFD" w14:textId="77777777" w:rsidR="00800B1B" w:rsidRDefault="00800B1B" w:rsidP="00643DA3">
      <w:r>
        <w:separator/>
      </w:r>
    </w:p>
  </w:endnote>
  <w:endnote w:type="continuationSeparator" w:id="0">
    <w:p w14:paraId="2080643D" w14:textId="77777777" w:rsidR="00800B1B" w:rsidRDefault="00800B1B"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88399" w14:textId="77777777" w:rsidR="00800B1B" w:rsidRDefault="00800B1B" w:rsidP="00643DA3">
      <w:r>
        <w:separator/>
      </w:r>
    </w:p>
  </w:footnote>
  <w:footnote w:type="continuationSeparator" w:id="0">
    <w:p w14:paraId="0E9C121B" w14:textId="77777777" w:rsidR="00800B1B" w:rsidRDefault="00800B1B"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w:t>
      </w:r>
      <w:proofErr w:type="gramStart"/>
      <w:r w:rsidRPr="00971B87">
        <w:rPr>
          <w:rFonts w:asciiTheme="minorHAnsi" w:hAnsiTheme="minorHAnsi" w:cstheme="minorHAnsi"/>
          <w:sz w:val="20"/>
          <w:szCs w:val="20"/>
        </w:rPr>
        <w:t>ols.do, but</w:t>
      </w:r>
      <w:proofErr w:type="gramEnd"/>
      <w:r w:rsidRPr="00971B87">
        <w:rPr>
          <w:rFonts w:asciiTheme="minorHAnsi" w:hAnsiTheme="minorHAnsi" w:cstheme="minorHAnsi"/>
          <w:sz w:val="20"/>
          <w:szCs w:val="20"/>
        </w:rPr>
        <w:t xml:space="preserve">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806C9"/>
    <w:multiLevelType w:val="hybridMultilevel"/>
    <w:tmpl w:val="ED3A7D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D6E24"/>
    <w:rsid w:val="000E2AA0"/>
    <w:rsid w:val="001012BC"/>
    <w:rsid w:val="001023F8"/>
    <w:rsid w:val="001118A3"/>
    <w:rsid w:val="00147349"/>
    <w:rsid w:val="001512DA"/>
    <w:rsid w:val="0016386A"/>
    <w:rsid w:val="001F4124"/>
    <w:rsid w:val="00206DB5"/>
    <w:rsid w:val="0021483F"/>
    <w:rsid w:val="002242AB"/>
    <w:rsid w:val="00290AFD"/>
    <w:rsid w:val="002C6C01"/>
    <w:rsid w:val="002F08B2"/>
    <w:rsid w:val="003367D6"/>
    <w:rsid w:val="00356951"/>
    <w:rsid w:val="003703EF"/>
    <w:rsid w:val="00386EA3"/>
    <w:rsid w:val="003B0A23"/>
    <w:rsid w:val="003C5342"/>
    <w:rsid w:val="003E033B"/>
    <w:rsid w:val="003E7539"/>
    <w:rsid w:val="00400D8C"/>
    <w:rsid w:val="004036C5"/>
    <w:rsid w:val="00404FAD"/>
    <w:rsid w:val="004142F0"/>
    <w:rsid w:val="00423BE5"/>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00B1B"/>
    <w:rsid w:val="008161CC"/>
    <w:rsid w:val="008C29CA"/>
    <w:rsid w:val="008D272D"/>
    <w:rsid w:val="008E7B6A"/>
    <w:rsid w:val="00936B07"/>
    <w:rsid w:val="00971B87"/>
    <w:rsid w:val="009918C3"/>
    <w:rsid w:val="009C52B6"/>
    <w:rsid w:val="009C5E41"/>
    <w:rsid w:val="009E7FCC"/>
    <w:rsid w:val="00A32100"/>
    <w:rsid w:val="00A54515"/>
    <w:rsid w:val="00A55D43"/>
    <w:rsid w:val="00A81483"/>
    <w:rsid w:val="00AB2060"/>
    <w:rsid w:val="00AC0B14"/>
    <w:rsid w:val="00AD43BB"/>
    <w:rsid w:val="00B52D6B"/>
    <w:rsid w:val="00B9688F"/>
    <w:rsid w:val="00B96D53"/>
    <w:rsid w:val="00BB761C"/>
    <w:rsid w:val="00BB7FFA"/>
    <w:rsid w:val="00BE1776"/>
    <w:rsid w:val="00BE6D0D"/>
    <w:rsid w:val="00C23B85"/>
    <w:rsid w:val="00C425D1"/>
    <w:rsid w:val="00C51C31"/>
    <w:rsid w:val="00C82F57"/>
    <w:rsid w:val="00C87FBE"/>
    <w:rsid w:val="00CB613F"/>
    <w:rsid w:val="00D335BA"/>
    <w:rsid w:val="00D4508D"/>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 w:type="paragraph" w:styleId="ListParagraph">
    <w:name w:val="List Paragraph"/>
    <w:basedOn w:val="Normal"/>
    <w:uiPriority w:val="34"/>
    <w:qFormat/>
    <w:rsid w:val="0042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2</cp:revision>
  <dcterms:created xsi:type="dcterms:W3CDTF">2020-06-10T13:45:00Z</dcterms:created>
  <dcterms:modified xsi:type="dcterms:W3CDTF">2020-06-10T13:45:00Z</dcterms:modified>
</cp:coreProperties>
</file>