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Aurora Home — Garantie, Rückgabe und Versand</w:t>
      </w:r>
    </w:p>
    <w:p>
      <w:r>
        <w:rPr>
          <w:i/>
          <w:color w:val="555555"/>
        </w:rPr>
        <w:t>Privat- und Geschäftskunden · gültig ab 1. Februar 2026 · Version 3</w:t>
      </w:r>
    </w:p>
    <w:p>
      <w:pPr>
        <w:pStyle w:val="Heading1"/>
      </w:pPr>
      <w:r>
        <w:t>1. Geltungsbereich</w:t>
      </w:r>
    </w:p>
    <w:p>
      <w:r>
        <w:t>Diese Richtlinie gilt für Aurora-Home-Hardware, die direkt bei Aurora Home oder bei einem autorisierten Fachhändler in der Europäischen Union, im Vereinigten Königreich und in der Schweiz gekauft wurde. Für Hardware aus anderen Märkten gilt die dortige Richtlinie. Software und Cloud-Dienste unterliegen den gesonderten Nutzungsbedingungen.</w:t>
      </w:r>
    </w:p>
    <w:p>
      <w:r>
        <w:t>Ihre gesetzlichen Rechte bleiben unberührt. Sieht das nationale Recht eine längere Frist oder einen weitergehenden Anspruch vor, gilt das nationale Recht.</w:t>
      </w:r>
    </w:p>
    <w:p>
      <w:pPr>
        <w:pStyle w:val="Heading1"/>
      </w:pPr>
      <w:r>
        <w:t>2. Garantie</w:t>
      </w:r>
    </w:p>
    <w:p>
      <w:r>
        <w:t>Für jedes Aurora-Home-Gerät gilt eine Herstellergarantie auf Material- und Verarbeitungsfehler ab dem Datum des Kaufbelegs. Wer sein Gerät registriert, erhält die verlängerte Garantie kostenlos — sofern die Registrierung innerhalb der unten genannten Frist erfolgt.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Gerät</w:t>
            </w:r>
          </w:p>
        </w:tc>
        <w:tc>
          <w:tcPr>
            <w:tcW w:type="dxa" w:w="2160"/>
          </w:tcPr>
          <w:p>
            <w:r/>
            <w:r>
              <w:rPr>
                <w:b/>
              </w:rPr>
              <w:t>Standardgarantie</w:t>
            </w:r>
          </w:p>
        </w:tc>
        <w:tc>
          <w:tcPr>
            <w:tcW w:type="dxa" w:w="2160"/>
          </w:tcPr>
          <w:p>
            <w:r/>
            <w:r>
              <w:rPr>
                <w:b/>
              </w:rPr>
              <w:t>Verlängerte Garantie</w:t>
            </w:r>
          </w:p>
        </w:tc>
        <w:tc>
          <w:tcPr>
            <w:tcW w:type="dxa" w:w="2160"/>
          </w:tcPr>
          <w:p>
            <w:r/>
            <w:r>
              <w:rPr>
                <w:b/>
              </w:rPr>
              <w:t>Registrierungsfrist</w:t>
            </w:r>
          </w:p>
        </w:tc>
      </w:tr>
      <w:tr>
        <w:tc>
          <w:tcPr>
            <w:tcW w:type="dxa" w:w="2160"/>
          </w:tcPr>
          <w:p>
            <w:r>
              <w:t>Thermostat T3</w:t>
            </w:r>
          </w:p>
        </w:tc>
        <w:tc>
          <w:tcPr>
            <w:tcW w:type="dxa" w:w="2160"/>
          </w:tcPr>
          <w:p>
            <w:r>
              <w:t>24 Monate</w:t>
            </w:r>
          </w:p>
        </w:tc>
        <w:tc>
          <w:tcPr>
            <w:tcW w:type="dxa" w:w="2160"/>
          </w:tcPr>
          <w:p>
            <w:r>
              <w:t>36 Monate</w:t>
            </w:r>
          </w:p>
        </w:tc>
        <w:tc>
          <w:tcPr>
            <w:tcW w:type="dxa" w:w="2160"/>
          </w:tcPr>
          <w:p>
            <w:r>
              <w:t>60 Tage ab Kauf</w:t>
            </w:r>
          </w:p>
        </w:tc>
      </w:tr>
      <w:tr>
        <w:tc>
          <w:tcPr>
            <w:tcW w:type="dxa" w:w="2160"/>
          </w:tcPr>
          <w:p>
            <w:r>
              <w:t>Sensor S1</w:t>
            </w:r>
          </w:p>
        </w:tc>
        <w:tc>
          <w:tcPr>
            <w:tcW w:type="dxa" w:w="2160"/>
          </w:tcPr>
          <w:p>
            <w:r>
              <w:t>24 Monate</w:t>
            </w:r>
          </w:p>
        </w:tc>
        <w:tc>
          <w:tcPr>
            <w:tcW w:type="dxa" w:w="2160"/>
          </w:tcPr>
          <w:p>
            <w:r>
              <w:t>36 Monate</w:t>
            </w:r>
          </w:p>
        </w:tc>
        <w:tc>
          <w:tcPr>
            <w:tcW w:type="dxa" w:w="2160"/>
          </w:tcPr>
          <w:p>
            <w:r>
              <w:t>60 Tage ab Kauf</w:t>
            </w:r>
          </w:p>
        </w:tc>
      </w:tr>
      <w:tr>
        <w:tc>
          <w:tcPr>
            <w:tcW w:type="dxa" w:w="2160"/>
          </w:tcPr>
          <w:p>
            <w:r>
              <w:t>Hub H2</w:t>
            </w:r>
          </w:p>
        </w:tc>
        <w:tc>
          <w:tcPr>
            <w:tcW w:type="dxa" w:w="2160"/>
          </w:tcPr>
          <w:p>
            <w:r>
              <w:t>24 Monate</w:t>
            </w:r>
          </w:p>
        </w:tc>
        <w:tc>
          <w:tcPr>
            <w:tcW w:type="dxa" w:w="2160"/>
          </w:tcPr>
          <w:p>
            <w:r>
              <w:t>36 Monate</w:t>
            </w:r>
          </w:p>
        </w:tc>
        <w:tc>
          <w:tcPr>
            <w:tcW w:type="dxa" w:w="2160"/>
          </w:tcPr>
          <w:p>
            <w:r>
              <w:t>60 Tage ab Kauf</w:t>
            </w:r>
          </w:p>
        </w:tc>
      </w:tr>
      <w:tr>
        <w:tc>
          <w:tcPr>
            <w:tcW w:type="dxa" w:w="2160"/>
          </w:tcPr>
          <w:p>
            <w:r>
              <w:t>Schnittstellenmodul AH-IM1</w:t>
            </w:r>
          </w:p>
        </w:tc>
        <w:tc>
          <w:tcPr>
            <w:tcW w:type="dxa" w:w="2160"/>
          </w:tcPr>
          <w:p>
            <w:r>
              <w:t>12 Monate</w:t>
            </w:r>
          </w:p>
        </w:tc>
        <w:tc>
          <w:tcPr>
            <w:tcW w:type="dxa" w:w="2160"/>
          </w:tcPr>
          <w:p>
            <w:r>
              <w:t>nicht verfügbar</w:t>
            </w:r>
          </w:p>
        </w:tc>
        <w:tc>
          <w:tcPr>
            <w:tcW w:type="dxa" w:w="2160"/>
          </w:tcPr>
          <w:p>
            <w:r>
              <w:t>—</w:t>
            </w:r>
          </w:p>
        </w:tc>
      </w:tr>
      <w:tr>
        <w:tc>
          <w:tcPr>
            <w:tcW w:type="dxa" w:w="2160"/>
          </w:tcPr>
          <w:p>
            <w:r>
              <w:t>Netzteil, Kabel</w:t>
            </w:r>
          </w:p>
        </w:tc>
        <w:tc>
          <w:tcPr>
            <w:tcW w:type="dxa" w:w="2160"/>
          </w:tcPr>
          <w:p>
            <w:r>
              <w:t>12 Monate</w:t>
            </w:r>
          </w:p>
        </w:tc>
        <w:tc>
          <w:tcPr>
            <w:tcW w:type="dxa" w:w="2160"/>
          </w:tcPr>
          <w:p>
            <w:r>
              <w:t>nicht verfügbar</w:t>
            </w:r>
          </w:p>
        </w:tc>
        <w:tc>
          <w:tcPr>
            <w:tcW w:type="dxa" w:w="2160"/>
          </w:tcPr>
          <w:p>
            <w:r>
              <w:t>—</w:t>
            </w:r>
          </w:p>
        </w:tc>
      </w:tr>
    </w:tbl>
    <w:p>
      <w:pPr>
        <w:jc w:val="center"/>
      </w:pPr>
      <w:r>
        <w:rPr>
          <w:i/>
          <w:color w:val="444444"/>
          <w:sz w:val="18"/>
        </w:rPr>
        <w:t>Tabelle 1: Garantiebedingungen nach Gerät.</w:t>
      </w:r>
    </w:p>
    <w:p>
      <w:r>
        <w:t>Die Garantie umfasst nach Wahl von Aurora Home die Reparatur oder den Austausch. Nicht abgedeckt sind Unfallschäden, Schäden durch eine Installation entgegen dem Installationshandbuch, optischer Verschleiß sowie Verbrauchsteile. Batterien gelten als Verbrauchsteil.</w:t>
      </w:r>
    </w:p>
    <w:p>
      <w:pPr>
        <w:pStyle w:val="Heading2"/>
      </w:pPr>
      <w:r>
        <w:t>2.1 Garantiefall melden</w:t>
      </w:r>
    </w:p>
    <w:p>
      <w:r>
        <w:t>Wenden Sie sich mit der Gerätekennung und dem Kaufbeleg an den Support. Wird der Garantiefall anerkannt, stellt Aurora Home ein vorfrankiertes Rücksendeetikett bereit. Für Austauschgeräte gelten dieselben Lieferbedingungen wie für Neubestellungen; die Restlaufzeit der ursprünglichen Garantie geht auf das Austauschgerät über, es beginnt keine neue Frist.</w:t>
      </w:r>
    </w:p>
    <w:p>
      <w:pPr>
        <w:pStyle w:val="Heading2"/>
      </w:pPr>
      <w:r>
        <w:t>2.2 Reparatur vor Ort</w:t>
      </w:r>
    </w:p>
    <w:p>
      <w:r>
        <w:t>In Deutschland und Österreich bietet Aurora Home für gewerbliche Installationen ab zwanzig Geräten eine Vor-Ort-Reparatur an. Der Einsatz erfolgt innerhalb von fünf Werktagen nach Anerkennung des Garantiefalls und ist auf Objekte mit einem gültigen Wartungsvertrag beschränkt. Für Privatkundinnen und Privatkunden ist die Vor-Ort-Reparatur nicht verfügbar.</w:t>
      </w:r>
    </w:p>
    <w:p>
      <w:pPr>
        <w:pStyle w:val="Heading1"/>
      </w:pPr>
      <w:r>
        <w:t>3. Rückgabe</w:t>
      </w:r>
    </w:p>
    <w:p>
      <w:r>
        <w:t>Rückgabe und Garantiefall sind zu unterscheiden: Eine Rückgabe betrifft Hardware, die Sie nicht behalten möchten, ein Garantiefall betrifft defekte Hardware. Für Rückgaben gelten die folgenden Fristen und Gebühren.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Kundengruppe</w:t>
            </w:r>
          </w:p>
        </w:tc>
        <w:tc>
          <w:tcPr>
            <w:tcW w:type="dxa" w:w="1728"/>
          </w:tcPr>
          <w:p>
            <w:r/>
            <w:r>
              <w:rPr>
                <w:b/>
              </w:rPr>
              <w:t>Rückgabefrist</w:t>
            </w:r>
          </w:p>
        </w:tc>
        <w:tc>
          <w:tcPr>
            <w:tcW w:type="dxa" w:w="1728"/>
          </w:tcPr>
          <w:p>
            <w:r/>
            <w:r>
              <w:rPr>
                <w:b/>
              </w:rPr>
              <w:t>Zustand</w:t>
            </w:r>
          </w:p>
        </w:tc>
        <w:tc>
          <w:tcPr>
            <w:tcW w:type="dxa" w:w="1728"/>
          </w:tcPr>
          <w:p>
            <w:r/>
            <w:r>
              <w:rPr>
                <w:b/>
              </w:rPr>
              <w:t>Wiedereinlagerungsgebühr</w:t>
            </w:r>
          </w:p>
        </w:tc>
        <w:tc>
          <w:tcPr>
            <w:tcW w:type="dxa" w:w="1728"/>
          </w:tcPr>
          <w:p>
            <w:r/>
            <w:r>
              <w:rPr>
                <w:b/>
              </w:rPr>
              <w:t>Erstattung</w:t>
            </w:r>
          </w:p>
        </w:tc>
      </w:tr>
      <w:tr>
        <w:tc>
          <w:tcPr>
            <w:tcW w:type="dxa" w:w="1728"/>
          </w:tcPr>
          <w:p>
            <w:r>
              <w:t>Privatkunden</w:t>
            </w:r>
          </w:p>
        </w:tc>
        <w:tc>
          <w:tcPr>
            <w:tcW w:type="dxa" w:w="1728"/>
          </w:tcPr>
          <w:p>
            <w:r>
              <w:t>30 Tage</w:t>
            </w:r>
          </w:p>
        </w:tc>
        <w:tc>
          <w:tcPr>
            <w:tcW w:type="dxa" w:w="1728"/>
          </w:tcPr>
          <w:p>
            <w:r>
              <w:t>ungeöffnet</w:t>
            </w:r>
          </w:p>
        </w:tc>
        <w:tc>
          <w:tcPr>
            <w:tcW w:type="dxa" w:w="1728"/>
          </w:tcPr>
          <w:p>
            <w:r>
              <w:t>keine</w:t>
            </w:r>
          </w:p>
        </w:tc>
        <w:tc>
          <w:tcPr>
            <w:tcW w:type="dxa" w:w="1728"/>
          </w:tcPr>
          <w:p>
            <w:r>
              <w:t>ursprüngliches Zahlungsmittel</w:t>
            </w:r>
          </w:p>
        </w:tc>
      </w:tr>
      <w:tr>
        <w:tc>
          <w:tcPr>
            <w:tcW w:type="dxa" w:w="1728"/>
          </w:tcPr>
          <w:p>
            <w:r>
              <w:t>Privatkunden</w:t>
            </w:r>
          </w:p>
        </w:tc>
        <w:tc>
          <w:tcPr>
            <w:tcW w:type="dxa" w:w="1728"/>
          </w:tcPr>
          <w:p>
            <w:r>
              <w:t>30 Tage</w:t>
            </w:r>
          </w:p>
        </w:tc>
        <w:tc>
          <w:tcPr>
            <w:tcW w:type="dxa" w:w="1728"/>
          </w:tcPr>
          <w:p>
            <w:r>
              <w:t>geöffnet, vollständig</w:t>
            </w:r>
          </w:p>
        </w:tc>
        <w:tc>
          <w:tcPr>
            <w:tcW w:type="dxa" w:w="1728"/>
          </w:tcPr>
          <w:p>
            <w:r>
              <w:t>keine</w:t>
            </w:r>
          </w:p>
        </w:tc>
        <w:tc>
          <w:tcPr>
            <w:tcW w:type="dxa" w:w="1728"/>
          </w:tcPr>
          <w:p>
            <w:r>
              <w:t>ursprüngliches Zahlungsmittel</w:t>
            </w:r>
          </w:p>
        </w:tc>
      </w:tr>
      <w:tr>
        <w:tc>
          <w:tcPr>
            <w:tcW w:type="dxa" w:w="1728"/>
          </w:tcPr>
          <w:p>
            <w:r>
              <w:t>Privatkunden</w:t>
            </w:r>
          </w:p>
        </w:tc>
        <w:tc>
          <w:tcPr>
            <w:tcW w:type="dxa" w:w="1728"/>
          </w:tcPr>
          <w:p>
            <w:r>
              <w:t>30 Tage</w:t>
            </w:r>
          </w:p>
        </w:tc>
        <w:tc>
          <w:tcPr>
            <w:tcW w:type="dxa" w:w="1728"/>
          </w:tcPr>
          <w:p>
            <w:r>
              <w:t>geöffnet, unvollständig</w:t>
            </w:r>
          </w:p>
        </w:tc>
        <w:tc>
          <w:tcPr>
            <w:tcW w:type="dxa" w:w="1728"/>
          </w:tcPr>
          <w:p>
            <w:r>
              <w:t>25 %</w:t>
            </w:r>
          </w:p>
        </w:tc>
        <w:tc>
          <w:tcPr>
            <w:tcW w:type="dxa" w:w="1728"/>
          </w:tcPr>
          <w:p>
            <w:r>
              <w:t>ursprüngliches Zahlungsmittel</w:t>
            </w:r>
          </w:p>
        </w:tc>
      </w:tr>
      <w:tr>
        <w:tc>
          <w:tcPr>
            <w:tcW w:type="dxa" w:w="1728"/>
          </w:tcPr>
          <w:p>
            <w:r>
              <w:t>Geschäftskunden</w:t>
            </w:r>
          </w:p>
        </w:tc>
        <w:tc>
          <w:tcPr>
            <w:tcW w:type="dxa" w:w="1728"/>
          </w:tcPr>
          <w:p>
            <w:r>
              <w:t>14 Tage</w:t>
            </w:r>
          </w:p>
        </w:tc>
        <w:tc>
          <w:tcPr>
            <w:tcW w:type="dxa" w:w="1728"/>
          </w:tcPr>
          <w:p>
            <w:r>
              <w:t>ungeöffnet</w:t>
            </w:r>
          </w:p>
        </w:tc>
        <w:tc>
          <w:tcPr>
            <w:tcW w:type="dxa" w:w="1728"/>
          </w:tcPr>
          <w:p>
            <w:r>
              <w:t>keine</w:t>
            </w:r>
          </w:p>
        </w:tc>
        <w:tc>
          <w:tcPr>
            <w:tcW w:type="dxa" w:w="1728"/>
          </w:tcPr>
          <w:p>
            <w:r>
              <w:t>Gutschrift</w:t>
            </w:r>
          </w:p>
        </w:tc>
      </w:tr>
      <w:tr>
        <w:tc>
          <w:tcPr>
            <w:tcW w:type="dxa" w:w="1728"/>
          </w:tcPr>
          <w:p>
            <w:r>
              <w:t>Geschäftskunden</w:t>
            </w:r>
          </w:p>
        </w:tc>
        <w:tc>
          <w:tcPr>
            <w:tcW w:type="dxa" w:w="1728"/>
          </w:tcPr>
          <w:p>
            <w:r>
              <w:t>14 Tage</w:t>
            </w:r>
          </w:p>
        </w:tc>
        <w:tc>
          <w:tcPr>
            <w:tcW w:type="dxa" w:w="1728"/>
          </w:tcPr>
          <w:p>
            <w:r>
              <w:t>geöffnet, vollständig</w:t>
            </w:r>
          </w:p>
        </w:tc>
        <w:tc>
          <w:tcPr>
            <w:tcW w:type="dxa" w:w="1728"/>
          </w:tcPr>
          <w:p>
            <w:r>
              <w:t>15 %</w:t>
            </w:r>
          </w:p>
        </w:tc>
        <w:tc>
          <w:tcPr>
            <w:tcW w:type="dxa" w:w="1728"/>
          </w:tcPr>
          <w:p>
            <w:r>
              <w:t>Gutschrift</w:t>
            </w:r>
          </w:p>
        </w:tc>
      </w:tr>
      <w:tr>
        <w:tc>
          <w:tcPr>
            <w:tcW w:type="dxa" w:w="1728"/>
          </w:tcPr>
          <w:p>
            <w:r>
              <w:t>Geschäftskunden</w:t>
            </w:r>
          </w:p>
        </w:tc>
        <w:tc>
          <w:tcPr>
            <w:tcW w:type="dxa" w:w="1728"/>
          </w:tcPr>
          <w:p>
            <w:r>
              <w:t>14 Tage</w:t>
            </w:r>
          </w:p>
        </w:tc>
        <w:tc>
          <w:tcPr>
            <w:tcW w:type="dxa" w:w="1728"/>
          </w:tcPr>
          <w:p>
            <w:r>
              <w:t>geöffnet, unvollständig</w:t>
            </w:r>
          </w:p>
        </w:tc>
        <w:tc>
          <w:tcPr>
            <w:tcW w:type="dxa" w:w="1728"/>
          </w:tcPr>
          <w:p>
            <w:r>
              <w:t>30 %</w:t>
            </w:r>
          </w:p>
        </w:tc>
        <w:tc>
          <w:tcPr>
            <w:tcW w:type="dxa" w:w="1728"/>
          </w:tcPr>
          <w:p>
            <w:r>
              <w:t>Gutschrift</w:t>
            </w:r>
          </w:p>
        </w:tc>
      </w:tr>
      <w:tr>
        <w:tc>
          <w:tcPr>
            <w:tcW w:type="dxa" w:w="1728"/>
          </w:tcPr>
          <w:p>
            <w:r>
              <w:t>Installationspartner</w:t>
            </w:r>
          </w:p>
        </w:tc>
        <w:tc>
          <w:tcPr>
            <w:tcW w:type="dxa" w:w="1728"/>
          </w:tcPr>
          <w:p>
            <w:r>
              <w:t>45 Tage</w:t>
            </w:r>
          </w:p>
        </w:tc>
        <w:tc>
          <w:tcPr>
            <w:tcW w:type="dxa" w:w="1728"/>
          </w:tcPr>
          <w:p>
            <w:r>
              <w:t>beliebig</w:t>
            </w:r>
          </w:p>
        </w:tc>
        <w:tc>
          <w:tcPr>
            <w:tcW w:type="dxa" w:w="1728"/>
          </w:tcPr>
          <w:p>
            <w:r>
              <w:t>keine</w:t>
            </w:r>
          </w:p>
        </w:tc>
        <w:tc>
          <w:tcPr>
            <w:tcW w:type="dxa" w:w="1728"/>
          </w:tcPr>
          <w:p>
            <w:r>
              <w:t>Kontoguthaben</w:t>
            </w:r>
          </w:p>
        </w:tc>
      </w:tr>
    </w:tbl>
    <w:p>
      <w:pPr>
        <w:jc w:val="center"/>
      </w:pPr>
      <w:r>
        <w:rPr>
          <w:i/>
          <w:color w:val="444444"/>
          <w:sz w:val="18"/>
        </w:rPr>
        <w:t>Tabelle 2: Rückgabefristen und Wiedereinlagerungsgebühren.</w:t>
      </w:r>
    </w:p>
    <w:p>
      <w:r>
        <w:t>Die Rücksendekosten tragen Sie selbst, sofern die Rücksendung nicht auf einen anerkannten Garantiefall oder einen Lieferfehler unsererseits zurückgeht. Die Erstattung erfolgt innerhalb von zehn Werktagen nach Eingang der Ware in unserem Lager.</w:t>
      </w:r>
    </w:p>
    <w:p>
      <w:pPr>
        <w:pStyle w:val="Heading1"/>
      </w:pPr>
      <w:r>
        <w:t>4. Versand</w:t>
      </w:r>
    </w:p>
    <w:p>
      <w:r>
        <w:t>Bestellungen, die an einem Werktag vor 14:00 Uhr MEZ eingehen, werden am selben Tag versandt. Spätere Bestellungen sowie Bestellungen am Wochenende gehen am nächsten Werktag raus.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Zielgebiet</w:t>
            </w:r>
          </w:p>
        </w:tc>
        <w:tc>
          <w:tcPr>
            <w:tcW w:type="dxa" w:w="2160"/>
          </w:tcPr>
          <w:p>
            <w:r/>
            <w:r>
              <w:rPr>
                <w:b/>
              </w:rPr>
              <w:t>Standardversand</w:t>
            </w:r>
          </w:p>
        </w:tc>
        <w:tc>
          <w:tcPr>
            <w:tcW w:type="dxa" w:w="2160"/>
          </w:tcPr>
          <w:p>
            <w:r/>
            <w:r>
              <w:rPr>
                <w:b/>
              </w:rPr>
              <w:t>Expressversand</w:t>
            </w:r>
          </w:p>
        </w:tc>
        <w:tc>
          <w:tcPr>
            <w:tcW w:type="dxa" w:w="2160"/>
          </w:tcPr>
          <w:p>
            <w:r/>
            <w:r>
              <w:rPr>
                <w:b/>
              </w:rPr>
              <w:t>Versandfrei ab</w:t>
            </w:r>
          </w:p>
        </w:tc>
      </w:tr>
      <w:tr>
        <w:tc>
          <w:tcPr>
            <w:tcW w:type="dxa" w:w="2160"/>
          </w:tcPr>
          <w:p>
            <w:r>
              <w:t>Deutschland</w:t>
            </w:r>
          </w:p>
        </w:tc>
        <w:tc>
          <w:tcPr>
            <w:tcW w:type="dxa" w:w="2160"/>
          </w:tcPr>
          <w:p>
            <w:r>
              <w:t>2–3 Werktage</w:t>
            </w:r>
          </w:p>
        </w:tc>
        <w:tc>
          <w:tcPr>
            <w:tcW w:type="dxa" w:w="2160"/>
          </w:tcPr>
          <w:p>
            <w:r>
              <w:t>nächster Werktag</w:t>
            </w:r>
          </w:p>
        </w:tc>
        <w:tc>
          <w:tcPr>
            <w:tcW w:type="dxa" w:w="2160"/>
          </w:tcPr>
          <w:p>
            <w:r>
              <w:t>49 €</w:t>
            </w:r>
          </w:p>
        </w:tc>
      </w:tr>
      <w:tr>
        <w:tc>
          <w:tcPr>
            <w:tcW w:type="dxa" w:w="2160"/>
          </w:tcPr>
          <w:p>
            <w:r>
              <w:t>Österreich, Niederlande, Belgien</w:t>
            </w:r>
          </w:p>
        </w:tc>
        <w:tc>
          <w:tcPr>
            <w:tcW w:type="dxa" w:w="2160"/>
          </w:tcPr>
          <w:p>
            <w:r>
              <w:t>3–4 Werktage</w:t>
            </w:r>
          </w:p>
        </w:tc>
        <w:tc>
          <w:tcPr>
            <w:tcW w:type="dxa" w:w="2160"/>
          </w:tcPr>
          <w:p>
            <w:r>
              <w:t>2 Werktage</w:t>
            </w:r>
          </w:p>
        </w:tc>
        <w:tc>
          <w:tcPr>
            <w:tcW w:type="dxa" w:w="2160"/>
          </w:tcPr>
          <w:p>
            <w:r>
              <w:t>59 €</w:t>
            </w:r>
          </w:p>
        </w:tc>
      </w:tr>
      <w:tr>
        <w:tc>
          <w:tcPr>
            <w:tcW w:type="dxa" w:w="2160"/>
          </w:tcPr>
          <w:p>
            <w:r>
              <w:t>Übrige Europäische Union</w:t>
            </w:r>
          </w:p>
        </w:tc>
        <w:tc>
          <w:tcPr>
            <w:tcW w:type="dxa" w:w="2160"/>
          </w:tcPr>
          <w:p>
            <w:r>
              <w:t>4–6 Werktage</w:t>
            </w:r>
          </w:p>
        </w:tc>
        <w:tc>
          <w:tcPr>
            <w:tcW w:type="dxa" w:w="2160"/>
          </w:tcPr>
          <w:p>
            <w:r>
              <w:t>3 Werktage</w:t>
            </w:r>
          </w:p>
        </w:tc>
        <w:tc>
          <w:tcPr>
            <w:tcW w:type="dxa" w:w="2160"/>
          </w:tcPr>
          <w:p>
            <w:r>
              <w:t>79 €</w:t>
            </w:r>
          </w:p>
        </w:tc>
      </w:tr>
      <w:tr>
        <w:tc>
          <w:tcPr>
            <w:tcW w:type="dxa" w:w="2160"/>
          </w:tcPr>
          <w:p>
            <w:r>
              <w:t>Schweiz</w:t>
            </w:r>
          </w:p>
        </w:tc>
        <w:tc>
          <w:tcPr>
            <w:tcW w:type="dxa" w:w="2160"/>
          </w:tcPr>
          <w:p>
            <w:r>
              <w:t>5–7 Werktage</w:t>
            </w:r>
          </w:p>
        </w:tc>
        <w:tc>
          <w:tcPr>
            <w:tcW w:type="dxa" w:w="2160"/>
          </w:tcPr>
          <w:p>
            <w:r>
              <w:t>3 Werktage</w:t>
            </w:r>
          </w:p>
        </w:tc>
        <w:tc>
          <w:tcPr>
            <w:tcW w:type="dxa" w:w="2160"/>
          </w:tcPr>
          <w:p>
            <w:r>
              <w:t>nicht verfügbar</w:t>
            </w:r>
          </w:p>
        </w:tc>
      </w:tr>
      <w:tr>
        <w:tc>
          <w:tcPr>
            <w:tcW w:type="dxa" w:w="2160"/>
          </w:tcPr>
          <w:p>
            <w:r>
              <w:t>Vereinigtes Königreich</w:t>
            </w:r>
          </w:p>
        </w:tc>
        <w:tc>
          <w:tcPr>
            <w:tcW w:type="dxa" w:w="2160"/>
          </w:tcPr>
          <w:p>
            <w:r>
              <w:t>5–7 Werktage</w:t>
            </w:r>
          </w:p>
        </w:tc>
        <w:tc>
          <w:tcPr>
            <w:tcW w:type="dxa" w:w="2160"/>
          </w:tcPr>
          <w:p>
            <w:r>
              <w:t>3 Werktage</w:t>
            </w:r>
          </w:p>
        </w:tc>
        <w:tc>
          <w:tcPr>
            <w:tcW w:type="dxa" w:w="2160"/>
          </w:tcPr>
          <w:p>
            <w:r>
              <w:t>nicht verfügbar</w:t>
            </w:r>
          </w:p>
        </w:tc>
      </w:tr>
    </w:tbl>
    <w:p>
      <w:pPr>
        <w:jc w:val="center"/>
      </w:pPr>
      <w:r>
        <w:rPr>
          <w:i/>
          <w:color w:val="444444"/>
          <w:sz w:val="18"/>
        </w:rPr>
        <w:t>Tabelle 3: Lieferzeiten und Versandkostengrenzen.</w:t>
      </w:r>
    </w:p>
    <w:p>
      <w:r>
        <w:t>Bei Lieferungen außerhalb der Europäischen Union können Zoll und Einfuhrumsatzsteuer anfallen. Diese trägt die empfangende Person; sie sind in den angezeigten Preisen nicht enthalten.</w:t>
      </w:r>
    </w:p>
    <w:p>
      <w:pPr>
        <w:pStyle w:val="Heading1"/>
      </w:pPr>
      <w:r>
        <w:t>5. Kontakt</w:t>
      </w:r>
    </w:p>
    <w:p>
      <w:r>
        <w:t>Schriftliche Anfragen zu dieser Richtlinie richten Sie bitte an die in der App hinterlegte Support-Adresse. Geben Sie dabei Ihre Bestellnummer an: Ohne sie lässt sich ein Kauf nicht zuordnen und ein Garantiefall nicht eröffnen.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Home — Garantie, Rückgabe und Versand</dc:title>
  <dc:subject/>
  <dc:creator>Aurora Home</dc:creator>
  <cp:keywords/>
  <dc:description>generated by python-docx</dc:description>
  <cp:lastModifiedBy/>
  <cp:revision>1</cp:revision>
  <dcterms:created xsi:type="dcterms:W3CDTF">2026-01-15T09:00:00Z</dcterms:created>
  <dcterms:modified xsi:type="dcterms:W3CDTF">2026-01-15T09:00:00Z</dcterms:modified>
  <cp:category/>
</cp:coreProperties>
</file>