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Aurora Home — Warranty, Returns and Shipping</w:t>
      </w:r>
    </w:p>
    <w:p>
      <w:r>
        <w:rPr>
          <w:i/>
          <w:color w:val="555555"/>
        </w:rPr>
        <w:t>Consumer and business customers · valid from 1 February 2026 · version 3</w:t>
      </w:r>
    </w:p>
    <w:p>
      <w:pPr>
        <w:pStyle w:val="Heading1"/>
      </w:pPr>
      <w:r>
        <w:t>1. Scope</w:t>
      </w:r>
    </w:p>
    <w:p>
      <w:r>
        <w:t>This policy applies to Aurora Home hardware bought directly from Aurora Home or from an authorised reseller in the European Union, the United Kingdom and Switzerland. Hardware bought elsewhere is covered by the policy of the market it was sold in. Software and cloud services are covered by the separate terms of service.</w:t>
      </w:r>
    </w:p>
    <w:p>
      <w:r>
        <w:t>Nothing in this policy limits your statutory rights. Where national law grants you a longer period or a stronger remedy than the terms below, national law prevails.</w:t>
      </w:r>
    </w:p>
    <w:p>
      <w:pPr>
        <w:pStyle w:val="Heading1"/>
      </w:pPr>
      <w:r>
        <w:t>2. Warranty</w:t>
      </w:r>
    </w:p>
    <w:p>
      <w:r>
        <w:t>Every Aurora Home device carries a manufacturer's warranty against defects in materials and workmanship, running from the date on your proof of purchase. Registering a device extends its warranty at no cost, provided registration happens within the window shown below.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Device</w:t>
            </w:r>
          </w:p>
        </w:tc>
        <w:tc>
          <w:tcPr>
            <w:tcW w:type="dxa" w:w="2160"/>
          </w:tcPr>
          <w:p>
            <w:r/>
            <w:r>
              <w:rPr>
                <w:b/>
              </w:rPr>
              <w:t>Standard warranty</w:t>
            </w:r>
          </w:p>
        </w:tc>
        <w:tc>
          <w:tcPr>
            <w:tcW w:type="dxa" w:w="2160"/>
          </w:tcPr>
          <w:p>
            <w:r/>
            <w:r>
              <w:rPr>
                <w:b/>
              </w:rPr>
              <w:t>Extended warranty</w:t>
            </w:r>
          </w:p>
        </w:tc>
        <w:tc>
          <w:tcPr>
            <w:tcW w:type="dxa" w:w="2160"/>
          </w:tcPr>
          <w:p>
            <w:r/>
            <w:r>
              <w:rPr>
                <w:b/>
              </w:rPr>
              <w:t>Registration window</w:t>
            </w:r>
          </w:p>
        </w:tc>
      </w:tr>
      <w:tr>
        <w:tc>
          <w:tcPr>
            <w:tcW w:type="dxa" w:w="2160"/>
          </w:tcPr>
          <w:p>
            <w:r>
              <w:t>Thermostat T3</w:t>
            </w:r>
          </w:p>
        </w:tc>
        <w:tc>
          <w:tcPr>
            <w:tcW w:type="dxa" w:w="2160"/>
          </w:tcPr>
          <w:p>
            <w:r>
              <w:t>24 months</w:t>
            </w:r>
          </w:p>
        </w:tc>
        <w:tc>
          <w:tcPr>
            <w:tcW w:type="dxa" w:w="2160"/>
          </w:tcPr>
          <w:p>
            <w:r>
              <w:t>36 months</w:t>
            </w:r>
          </w:p>
        </w:tc>
        <w:tc>
          <w:tcPr>
            <w:tcW w:type="dxa" w:w="2160"/>
          </w:tcPr>
          <w:p>
            <w:r>
              <w:t>60 days from purchase</w:t>
            </w:r>
          </w:p>
        </w:tc>
      </w:tr>
      <w:tr>
        <w:tc>
          <w:tcPr>
            <w:tcW w:type="dxa" w:w="2160"/>
          </w:tcPr>
          <w:p>
            <w:r>
              <w:t>Sensor S1</w:t>
            </w:r>
          </w:p>
        </w:tc>
        <w:tc>
          <w:tcPr>
            <w:tcW w:type="dxa" w:w="2160"/>
          </w:tcPr>
          <w:p>
            <w:r>
              <w:t>24 months</w:t>
            </w:r>
          </w:p>
        </w:tc>
        <w:tc>
          <w:tcPr>
            <w:tcW w:type="dxa" w:w="2160"/>
          </w:tcPr>
          <w:p>
            <w:r>
              <w:t>36 months</w:t>
            </w:r>
          </w:p>
        </w:tc>
        <w:tc>
          <w:tcPr>
            <w:tcW w:type="dxa" w:w="2160"/>
          </w:tcPr>
          <w:p>
            <w:r>
              <w:t>60 days from purchase</w:t>
            </w:r>
          </w:p>
        </w:tc>
      </w:tr>
      <w:tr>
        <w:tc>
          <w:tcPr>
            <w:tcW w:type="dxa" w:w="2160"/>
          </w:tcPr>
          <w:p>
            <w:r>
              <w:t>Hub H2</w:t>
            </w:r>
          </w:p>
        </w:tc>
        <w:tc>
          <w:tcPr>
            <w:tcW w:type="dxa" w:w="2160"/>
          </w:tcPr>
          <w:p>
            <w:r>
              <w:t>24 months</w:t>
            </w:r>
          </w:p>
        </w:tc>
        <w:tc>
          <w:tcPr>
            <w:tcW w:type="dxa" w:w="2160"/>
          </w:tcPr>
          <w:p>
            <w:r>
              <w:t>36 months</w:t>
            </w:r>
          </w:p>
        </w:tc>
        <w:tc>
          <w:tcPr>
            <w:tcW w:type="dxa" w:w="2160"/>
          </w:tcPr>
          <w:p>
            <w:r>
              <w:t>60 days from purchase</w:t>
            </w:r>
          </w:p>
        </w:tc>
      </w:tr>
      <w:tr>
        <w:tc>
          <w:tcPr>
            <w:tcW w:type="dxa" w:w="2160"/>
          </w:tcPr>
          <w:p>
            <w:r>
              <w:t>Interface module AH-IM1</w:t>
            </w:r>
          </w:p>
        </w:tc>
        <w:tc>
          <w:tcPr>
            <w:tcW w:type="dxa" w:w="2160"/>
          </w:tcPr>
          <w:p>
            <w:r>
              <w:t>12 months</w:t>
            </w:r>
          </w:p>
        </w:tc>
        <w:tc>
          <w:tcPr>
            <w:tcW w:type="dxa" w:w="2160"/>
          </w:tcPr>
          <w:p>
            <w:r>
              <w:t>not available</w:t>
            </w:r>
          </w:p>
        </w:tc>
        <w:tc>
          <w:tcPr>
            <w:tcW w:type="dxa" w:w="2160"/>
          </w:tcPr>
          <w:p>
            <w:r>
              <w:t>—</w:t>
            </w:r>
          </w:p>
        </w:tc>
      </w:tr>
      <w:tr>
        <w:tc>
          <w:tcPr>
            <w:tcW w:type="dxa" w:w="2160"/>
          </w:tcPr>
          <w:p>
            <w:r>
              <w:t>Power adapter, cables</w:t>
            </w:r>
          </w:p>
        </w:tc>
        <w:tc>
          <w:tcPr>
            <w:tcW w:type="dxa" w:w="2160"/>
          </w:tcPr>
          <w:p>
            <w:r>
              <w:t>12 months</w:t>
            </w:r>
          </w:p>
        </w:tc>
        <w:tc>
          <w:tcPr>
            <w:tcW w:type="dxa" w:w="2160"/>
          </w:tcPr>
          <w:p>
            <w:r>
              <w:t>not available</w:t>
            </w:r>
          </w:p>
        </w:tc>
        <w:tc>
          <w:tcPr>
            <w:tcW w:type="dxa" w:w="2160"/>
          </w:tcPr>
          <w:p>
            <w:r>
              <w:t>—</w:t>
            </w:r>
          </w:p>
        </w:tc>
      </w:tr>
    </w:tbl>
    <w:p>
      <w:pPr>
        <w:jc w:val="center"/>
      </w:pPr>
      <w:r>
        <w:rPr>
          <w:i/>
          <w:color w:val="444444"/>
          <w:sz w:val="18"/>
        </w:rPr>
        <w:t>Table 1: Warranty terms by device.</w:t>
      </w:r>
    </w:p>
    <w:p>
      <w:r>
        <w:t>The warranty covers repair or replacement at Aurora Home's discretion. It does not cover accidental damage, damage caused by installation contrary to the installation guide, cosmetic wear, or consumable parts. Batteries are consumables.</w:t>
      </w:r>
    </w:p>
    <w:p>
      <w:pPr>
        <w:pStyle w:val="Heading2"/>
      </w:pPr>
      <w:r>
        <w:t>2.1 Making a warranty claim</w:t>
      </w:r>
    </w:p>
    <w:p>
      <w:r>
        <w:t>Contact support with the device identifier and your proof of purchase. Where a claim is accepted, Aurora Home issues a prepaid return label. Replacement units ship under the same delivery terms as new orders, and the replacement inherits the remaining warranty of the original device rather than starting a new term.</w:t>
      </w:r>
    </w:p>
    <w:p>
      <w:pPr>
        <w:pStyle w:val="Heading1"/>
      </w:pPr>
      <w:r>
        <w:t>3. Returns</w:t>
      </w:r>
    </w:p>
    <w:p>
      <w:r>
        <w:t>Returns are handled separately from warranty claims: a return is for hardware you no longer want, a warranty claim is for hardware that has failed. The windows and fees below apply to returns.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b/>
              </w:rPr>
              <w:t>Customer type</w:t>
            </w:r>
          </w:p>
        </w:tc>
        <w:tc>
          <w:tcPr>
            <w:tcW w:type="dxa" w:w="1728"/>
          </w:tcPr>
          <w:p>
            <w:r/>
            <w:r>
              <w:rPr>
                <w:b/>
              </w:rPr>
              <w:t>Return window</w:t>
            </w:r>
          </w:p>
        </w:tc>
        <w:tc>
          <w:tcPr>
            <w:tcW w:type="dxa" w:w="1728"/>
          </w:tcPr>
          <w:p>
            <w:r/>
            <w:r>
              <w:rPr>
                <w:b/>
              </w:rPr>
              <w:t>Condition</w:t>
            </w:r>
          </w:p>
        </w:tc>
        <w:tc>
          <w:tcPr>
            <w:tcW w:type="dxa" w:w="1728"/>
          </w:tcPr>
          <w:p>
            <w:r/>
            <w:r>
              <w:rPr>
                <w:b/>
              </w:rPr>
              <w:t>Restocking fee</w:t>
            </w:r>
          </w:p>
        </w:tc>
        <w:tc>
          <w:tcPr>
            <w:tcW w:type="dxa" w:w="1728"/>
          </w:tcPr>
          <w:p>
            <w:r/>
            <w:r>
              <w:rPr>
                <w:b/>
              </w:rPr>
              <w:t>Refund method</w:t>
            </w:r>
          </w:p>
        </w:tc>
      </w:tr>
      <w:tr>
        <w:tc>
          <w:tcPr>
            <w:tcW w:type="dxa" w:w="1728"/>
          </w:tcPr>
          <w:p>
            <w:r>
              <w:t>Consumer</w:t>
            </w:r>
          </w:p>
        </w:tc>
        <w:tc>
          <w:tcPr>
            <w:tcW w:type="dxa" w:w="1728"/>
          </w:tcPr>
          <w:p>
            <w:r>
              <w:t>30 days</w:t>
            </w:r>
          </w:p>
        </w:tc>
        <w:tc>
          <w:tcPr>
            <w:tcW w:type="dxa" w:w="1728"/>
          </w:tcPr>
          <w:p>
            <w:r>
              <w:t>Unopened</w:t>
            </w:r>
          </w:p>
        </w:tc>
        <w:tc>
          <w:tcPr>
            <w:tcW w:type="dxa" w:w="1728"/>
          </w:tcPr>
          <w:p>
            <w:r>
              <w:t>None</w:t>
            </w:r>
          </w:p>
        </w:tc>
        <w:tc>
          <w:tcPr>
            <w:tcW w:type="dxa" w:w="1728"/>
          </w:tcPr>
          <w:p>
            <w:r>
              <w:t>Original payment method</w:t>
            </w:r>
          </w:p>
        </w:tc>
      </w:tr>
      <w:tr>
        <w:tc>
          <w:tcPr>
            <w:tcW w:type="dxa" w:w="1728"/>
          </w:tcPr>
          <w:p>
            <w:r>
              <w:t>Consumer</w:t>
            </w:r>
          </w:p>
        </w:tc>
        <w:tc>
          <w:tcPr>
            <w:tcW w:type="dxa" w:w="1728"/>
          </w:tcPr>
          <w:p>
            <w:r>
              <w:t>30 days</w:t>
            </w:r>
          </w:p>
        </w:tc>
        <w:tc>
          <w:tcPr>
            <w:tcW w:type="dxa" w:w="1728"/>
          </w:tcPr>
          <w:p>
            <w:r>
              <w:t>Opened, complete</w:t>
            </w:r>
          </w:p>
        </w:tc>
        <w:tc>
          <w:tcPr>
            <w:tcW w:type="dxa" w:w="1728"/>
          </w:tcPr>
          <w:p>
            <w:r>
              <w:t>None</w:t>
            </w:r>
          </w:p>
        </w:tc>
        <w:tc>
          <w:tcPr>
            <w:tcW w:type="dxa" w:w="1728"/>
          </w:tcPr>
          <w:p>
            <w:r>
              <w:t>Original payment method</w:t>
            </w:r>
          </w:p>
        </w:tc>
      </w:tr>
      <w:tr>
        <w:tc>
          <w:tcPr>
            <w:tcW w:type="dxa" w:w="1728"/>
          </w:tcPr>
          <w:p>
            <w:r>
              <w:t>Consumer</w:t>
            </w:r>
          </w:p>
        </w:tc>
        <w:tc>
          <w:tcPr>
            <w:tcW w:type="dxa" w:w="1728"/>
          </w:tcPr>
          <w:p>
            <w:r>
              <w:t>30 days</w:t>
            </w:r>
          </w:p>
        </w:tc>
        <w:tc>
          <w:tcPr>
            <w:tcW w:type="dxa" w:w="1728"/>
          </w:tcPr>
          <w:p>
            <w:r>
              <w:t>Opened, incomplete</w:t>
            </w:r>
          </w:p>
        </w:tc>
        <w:tc>
          <w:tcPr>
            <w:tcW w:type="dxa" w:w="1728"/>
          </w:tcPr>
          <w:p>
            <w:r>
              <w:t>25%</w:t>
            </w:r>
          </w:p>
        </w:tc>
        <w:tc>
          <w:tcPr>
            <w:tcW w:type="dxa" w:w="1728"/>
          </w:tcPr>
          <w:p>
            <w:r>
              <w:t>Original payment method</w:t>
            </w:r>
          </w:p>
        </w:tc>
      </w:tr>
      <w:tr>
        <w:tc>
          <w:tcPr>
            <w:tcW w:type="dxa" w:w="1728"/>
          </w:tcPr>
          <w:p>
            <w:r>
              <w:t>Business</w:t>
            </w:r>
          </w:p>
        </w:tc>
        <w:tc>
          <w:tcPr>
            <w:tcW w:type="dxa" w:w="1728"/>
          </w:tcPr>
          <w:p>
            <w:r>
              <w:t>14 days</w:t>
            </w:r>
          </w:p>
        </w:tc>
        <w:tc>
          <w:tcPr>
            <w:tcW w:type="dxa" w:w="1728"/>
          </w:tcPr>
          <w:p>
            <w:r>
              <w:t>Unopened</w:t>
            </w:r>
          </w:p>
        </w:tc>
        <w:tc>
          <w:tcPr>
            <w:tcW w:type="dxa" w:w="1728"/>
          </w:tcPr>
          <w:p>
            <w:r>
              <w:t>None</w:t>
            </w:r>
          </w:p>
        </w:tc>
        <w:tc>
          <w:tcPr>
            <w:tcW w:type="dxa" w:w="1728"/>
          </w:tcPr>
          <w:p>
            <w:r>
              <w:t>Credit note</w:t>
            </w:r>
          </w:p>
        </w:tc>
      </w:tr>
      <w:tr>
        <w:tc>
          <w:tcPr>
            <w:tcW w:type="dxa" w:w="1728"/>
          </w:tcPr>
          <w:p>
            <w:r>
              <w:t>Business</w:t>
            </w:r>
          </w:p>
        </w:tc>
        <w:tc>
          <w:tcPr>
            <w:tcW w:type="dxa" w:w="1728"/>
          </w:tcPr>
          <w:p>
            <w:r>
              <w:t>14 days</w:t>
            </w:r>
          </w:p>
        </w:tc>
        <w:tc>
          <w:tcPr>
            <w:tcW w:type="dxa" w:w="1728"/>
          </w:tcPr>
          <w:p>
            <w:r>
              <w:t>Opened, complete</w:t>
            </w:r>
          </w:p>
        </w:tc>
        <w:tc>
          <w:tcPr>
            <w:tcW w:type="dxa" w:w="1728"/>
          </w:tcPr>
          <w:p>
            <w:r>
              <w:t>15%</w:t>
            </w:r>
          </w:p>
        </w:tc>
        <w:tc>
          <w:tcPr>
            <w:tcW w:type="dxa" w:w="1728"/>
          </w:tcPr>
          <w:p>
            <w:r>
              <w:t>Credit note</w:t>
            </w:r>
          </w:p>
        </w:tc>
      </w:tr>
      <w:tr>
        <w:tc>
          <w:tcPr>
            <w:tcW w:type="dxa" w:w="1728"/>
          </w:tcPr>
          <w:p>
            <w:r>
              <w:t>Business</w:t>
            </w:r>
          </w:p>
        </w:tc>
        <w:tc>
          <w:tcPr>
            <w:tcW w:type="dxa" w:w="1728"/>
          </w:tcPr>
          <w:p>
            <w:r>
              <w:t>14 days</w:t>
            </w:r>
          </w:p>
        </w:tc>
        <w:tc>
          <w:tcPr>
            <w:tcW w:type="dxa" w:w="1728"/>
          </w:tcPr>
          <w:p>
            <w:r>
              <w:t>Opened, incomplete</w:t>
            </w:r>
          </w:p>
        </w:tc>
        <w:tc>
          <w:tcPr>
            <w:tcW w:type="dxa" w:w="1728"/>
          </w:tcPr>
          <w:p>
            <w:r>
              <w:t>30%</w:t>
            </w:r>
          </w:p>
        </w:tc>
        <w:tc>
          <w:tcPr>
            <w:tcW w:type="dxa" w:w="1728"/>
          </w:tcPr>
          <w:p>
            <w:r>
              <w:t>Credit note</w:t>
            </w:r>
          </w:p>
        </w:tc>
      </w:tr>
      <w:tr>
        <w:tc>
          <w:tcPr>
            <w:tcW w:type="dxa" w:w="1728"/>
          </w:tcPr>
          <w:p>
            <w:r>
              <w:t>Installer partner</w:t>
            </w:r>
          </w:p>
        </w:tc>
        <w:tc>
          <w:tcPr>
            <w:tcW w:type="dxa" w:w="1728"/>
          </w:tcPr>
          <w:p>
            <w:r>
              <w:t>45 days</w:t>
            </w:r>
          </w:p>
        </w:tc>
        <w:tc>
          <w:tcPr>
            <w:tcW w:type="dxa" w:w="1728"/>
          </w:tcPr>
          <w:p>
            <w:r>
              <w:t>Any</w:t>
            </w:r>
          </w:p>
        </w:tc>
        <w:tc>
          <w:tcPr>
            <w:tcW w:type="dxa" w:w="1728"/>
          </w:tcPr>
          <w:p>
            <w:r>
              <w:t>None</w:t>
            </w:r>
          </w:p>
        </w:tc>
        <w:tc>
          <w:tcPr>
            <w:tcW w:type="dxa" w:w="1728"/>
          </w:tcPr>
          <w:p>
            <w:r>
              <w:t>Account credit</w:t>
            </w:r>
          </w:p>
        </w:tc>
      </w:tr>
    </w:tbl>
    <w:p>
      <w:pPr>
        <w:jc w:val="center"/>
      </w:pPr>
      <w:r>
        <w:rPr>
          <w:i/>
          <w:color w:val="444444"/>
          <w:sz w:val="18"/>
        </w:rPr>
        <w:t>Table 2: Return windows and restocking fees.</w:t>
      </w:r>
    </w:p>
    <w:p>
      <w:r>
        <w:t>Return shipping is at your own cost unless the return follows an accepted warranty claim or a delivery error on our side. Refunds are issued within ten working days of the returned hardware arriving at our warehouse.</w:t>
      </w:r>
    </w:p>
    <w:p>
      <w:pPr>
        <w:pStyle w:val="Heading1"/>
      </w:pPr>
      <w:r>
        <w:t>4. Shipping</w:t>
      </w:r>
    </w:p>
    <w:p>
      <w:r>
        <w:t>Orders placed before 14:00 CET on a working day are dispatched the same day. Orders placed later, or at a weekend, are dispatched the next working day.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b/>
              </w:rPr>
              <w:t>Destination</w:t>
            </w:r>
          </w:p>
        </w:tc>
        <w:tc>
          <w:tcPr>
            <w:tcW w:type="dxa" w:w="2160"/>
          </w:tcPr>
          <w:p>
            <w:r/>
            <w:r>
              <w:rPr>
                <w:b/>
              </w:rPr>
              <w:t>Standard delivery</w:t>
            </w:r>
          </w:p>
        </w:tc>
        <w:tc>
          <w:tcPr>
            <w:tcW w:type="dxa" w:w="2160"/>
          </w:tcPr>
          <w:p>
            <w:r/>
            <w:r>
              <w:rPr>
                <w:b/>
              </w:rPr>
              <w:t>Express delivery</w:t>
            </w:r>
          </w:p>
        </w:tc>
        <w:tc>
          <w:tcPr>
            <w:tcW w:type="dxa" w:w="2160"/>
          </w:tcPr>
          <w:p>
            <w:r/>
            <w:r>
              <w:rPr>
                <w:b/>
              </w:rPr>
              <w:t>Free over</w:t>
            </w:r>
          </w:p>
        </w:tc>
      </w:tr>
      <w:tr>
        <w:tc>
          <w:tcPr>
            <w:tcW w:type="dxa" w:w="2160"/>
          </w:tcPr>
          <w:p>
            <w:r>
              <w:t>Germany</w:t>
            </w:r>
          </w:p>
        </w:tc>
        <w:tc>
          <w:tcPr>
            <w:tcW w:type="dxa" w:w="2160"/>
          </w:tcPr>
          <w:p>
            <w:r>
              <w:t>2–3 working days</w:t>
            </w:r>
          </w:p>
        </w:tc>
        <w:tc>
          <w:tcPr>
            <w:tcW w:type="dxa" w:w="2160"/>
          </w:tcPr>
          <w:p>
            <w:r>
              <w:t>next working day</w:t>
            </w:r>
          </w:p>
        </w:tc>
        <w:tc>
          <w:tcPr>
            <w:tcW w:type="dxa" w:w="2160"/>
          </w:tcPr>
          <w:p>
            <w:r>
              <w:t>€49</w:t>
            </w:r>
          </w:p>
        </w:tc>
      </w:tr>
      <w:tr>
        <w:tc>
          <w:tcPr>
            <w:tcW w:type="dxa" w:w="2160"/>
          </w:tcPr>
          <w:p>
            <w:r>
              <w:t>Austria, Netherlands, Belgium</w:t>
            </w:r>
          </w:p>
        </w:tc>
        <w:tc>
          <w:tcPr>
            <w:tcW w:type="dxa" w:w="2160"/>
          </w:tcPr>
          <w:p>
            <w:r>
              <w:t>3–4 working days</w:t>
            </w:r>
          </w:p>
        </w:tc>
        <w:tc>
          <w:tcPr>
            <w:tcW w:type="dxa" w:w="2160"/>
          </w:tcPr>
          <w:p>
            <w:r>
              <w:t>2 working days</w:t>
            </w:r>
          </w:p>
        </w:tc>
        <w:tc>
          <w:tcPr>
            <w:tcW w:type="dxa" w:w="2160"/>
          </w:tcPr>
          <w:p>
            <w:r>
              <w:t>€59</w:t>
            </w:r>
          </w:p>
        </w:tc>
      </w:tr>
      <w:tr>
        <w:tc>
          <w:tcPr>
            <w:tcW w:type="dxa" w:w="2160"/>
          </w:tcPr>
          <w:p>
            <w:r>
              <w:t>Rest of the European Union</w:t>
            </w:r>
          </w:p>
        </w:tc>
        <w:tc>
          <w:tcPr>
            <w:tcW w:type="dxa" w:w="2160"/>
          </w:tcPr>
          <w:p>
            <w:r>
              <w:t>4–6 working days</w:t>
            </w:r>
          </w:p>
        </w:tc>
        <w:tc>
          <w:tcPr>
            <w:tcW w:type="dxa" w:w="2160"/>
          </w:tcPr>
          <w:p>
            <w:r>
              <w:t>3 working days</w:t>
            </w:r>
          </w:p>
        </w:tc>
        <w:tc>
          <w:tcPr>
            <w:tcW w:type="dxa" w:w="2160"/>
          </w:tcPr>
          <w:p>
            <w:r>
              <w:t>€79</w:t>
            </w:r>
          </w:p>
        </w:tc>
      </w:tr>
      <w:tr>
        <w:tc>
          <w:tcPr>
            <w:tcW w:type="dxa" w:w="2160"/>
          </w:tcPr>
          <w:p>
            <w:r>
              <w:t>Switzerland</w:t>
            </w:r>
          </w:p>
        </w:tc>
        <w:tc>
          <w:tcPr>
            <w:tcW w:type="dxa" w:w="2160"/>
          </w:tcPr>
          <w:p>
            <w:r>
              <w:t>5–7 working days</w:t>
            </w:r>
          </w:p>
        </w:tc>
        <w:tc>
          <w:tcPr>
            <w:tcW w:type="dxa" w:w="2160"/>
          </w:tcPr>
          <w:p>
            <w:r>
              <w:t>3 working days</w:t>
            </w:r>
          </w:p>
        </w:tc>
        <w:tc>
          <w:tcPr>
            <w:tcW w:type="dxa" w:w="2160"/>
          </w:tcPr>
          <w:p>
            <w:r>
              <w:t>not available</w:t>
            </w:r>
          </w:p>
        </w:tc>
      </w:tr>
      <w:tr>
        <w:tc>
          <w:tcPr>
            <w:tcW w:type="dxa" w:w="2160"/>
          </w:tcPr>
          <w:p>
            <w:r>
              <w:t>United Kingdom</w:t>
            </w:r>
          </w:p>
        </w:tc>
        <w:tc>
          <w:tcPr>
            <w:tcW w:type="dxa" w:w="2160"/>
          </w:tcPr>
          <w:p>
            <w:r>
              <w:t>5–7 working days</w:t>
            </w:r>
          </w:p>
        </w:tc>
        <w:tc>
          <w:tcPr>
            <w:tcW w:type="dxa" w:w="2160"/>
          </w:tcPr>
          <w:p>
            <w:r>
              <w:t>3 working days</w:t>
            </w:r>
          </w:p>
        </w:tc>
        <w:tc>
          <w:tcPr>
            <w:tcW w:type="dxa" w:w="2160"/>
          </w:tcPr>
          <w:p>
            <w:r>
              <w:t>not available</w:t>
            </w:r>
          </w:p>
        </w:tc>
      </w:tr>
    </w:tbl>
    <w:p>
      <w:pPr>
        <w:jc w:val="center"/>
      </w:pPr>
      <w:r>
        <w:rPr>
          <w:i/>
          <w:color w:val="444444"/>
          <w:sz w:val="18"/>
        </w:rPr>
        <w:t>Table 3: Delivery times and free-shipping thresholds.</w:t>
      </w:r>
    </w:p>
    <w:p>
      <w:r>
        <w:t>Deliveries outside the European Union may attract customs duty and import VAT, which are payable by the recipient and are not included in the prices shown at checkout.</w:t>
      </w:r>
    </w:p>
    <w:p>
      <w:pPr>
        <w:pStyle w:val="Heading1"/>
      </w:pPr>
      <w:r>
        <w:t>5. Contact</w:t>
      </w:r>
    </w:p>
    <w:p>
      <w:r>
        <w:t>Written enquiries about this policy should go to the support address in the app. Please quote your order number: without it we cannot locate a purchase, and a warranty claim cannot be opened on a device we cannot tie to a sale.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Aurora Home — Warranty, Returns and Shipping</dc:title>
  <dc:subject/>
  <dc:creator>Aurora Home</dc:creator>
  <cp:keywords/>
  <dc:description>generated by python-docx</dc:description>
  <cp:lastModifiedBy/>
  <cp:revision>1</cp:revision>
  <dcterms:created xsi:type="dcterms:W3CDTF">2026-01-15T09:00:00Z</dcterms:created>
  <dcterms:modified xsi:type="dcterms:W3CDTF">2026-01-15T09:00:00Z</dcterms:modified>
  <cp:category/>
</cp:coreProperties>
</file>