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Pr="00C37197" w:rsidRDefault="00EF07A2" w:rsidP="00112B94">
      <w:pPr>
        <w:pStyle w:val="Titel"/>
        <w:rPr>
          <w:noProof/>
        </w:rPr>
      </w:pPr>
      <w:bookmarkStart w:id="0" w:name="_GoBack"/>
      <w:bookmarkEnd w:id="0"/>
      <w:r w:rsidRPr="00C37197">
        <w:rPr>
          <w:noProof/>
        </w:rPr>
        <w:t>BEX – Binary Encoded XML (Document)</w:t>
      </w:r>
    </w:p>
    <w:p w:rsidR="00767AFE" w:rsidRPr="00C37197" w:rsidRDefault="00EF07A2" w:rsidP="00112B94">
      <w:pPr>
        <w:jc w:val="both"/>
        <w:rPr>
          <w:noProof/>
        </w:rPr>
      </w:pPr>
      <w:r w:rsidRPr="00C37197">
        <w:rPr>
          <w:noProof/>
        </w:rPr>
        <w:t xml:space="preserve">Binary Encoded XML (Document) beschreibt das </w:t>
      </w:r>
      <w:r w:rsidR="00767AFE" w:rsidRPr="00C37197">
        <w:rPr>
          <w:noProof/>
        </w:rPr>
        <w:t>binäre Datenf</w:t>
      </w:r>
      <w:r w:rsidRPr="00C37197">
        <w:rPr>
          <w:noProof/>
        </w:rPr>
        <w:t xml:space="preserve">ormat zur redundanzarmen Abbildung eines XML Dokuments. Ziel dieses Formats ist es, eine </w:t>
      </w:r>
      <w:r w:rsidR="00767AFE" w:rsidRPr="00C37197">
        <w:rPr>
          <w:noProof/>
        </w:rPr>
        <w:t xml:space="preserve">leichtgewichtige, </w:t>
      </w:r>
      <w:r w:rsidRPr="00C37197">
        <w:rPr>
          <w:noProof/>
        </w:rPr>
        <w:t>nur lesende DOM-Implementation darauf aufsetzen zu können, welche signifikant weniger Arbeitsspeicher verbraucht, als eine zumeist auch schreiben könnende Implementation einer Standard XML Softwarebibliothek.</w:t>
      </w:r>
      <w:r w:rsidR="00767AFE" w:rsidRPr="00C37197">
        <w:rPr>
          <w:noProof/>
        </w:rPr>
        <w:t xml:space="preserve"> Diese </w:t>
      </w:r>
      <w:r w:rsidR="00767AFE" w:rsidRPr="00C37197">
        <w:rPr>
          <w:noProof/>
        </w:rPr>
        <w:t>leichtgewichtige DOM-Implementation kann die Binärdatei Blockweise in den Arbeitsspeicher laden und dort zur Wiederverwendung gemäß einer most-recently-used Strategie vorhalten. Die offset-Listen sollten dazu vollständig im Arbeitsspeicher vorgehalten werden.</w:t>
      </w:r>
    </w:p>
    <w:p w:rsidR="00776293" w:rsidRPr="00C37197" w:rsidRDefault="00776293" w:rsidP="00112B94">
      <w:pPr>
        <w:pStyle w:val="berschrift1"/>
        <w:rPr>
          <w:noProof/>
        </w:rPr>
      </w:pPr>
      <w:r w:rsidRPr="00C37197">
        <w:rPr>
          <w:noProof/>
        </w:rPr>
        <w:t>Datenstruktur: BEX</w:t>
      </w:r>
    </w:p>
    <w:p w:rsidR="00776293" w:rsidRPr="00C37197" w:rsidRDefault="00776293" w:rsidP="00112B94">
      <w:pPr>
        <w:jc w:val="both"/>
        <w:rPr>
          <w:noProof/>
        </w:rPr>
      </w:pPr>
      <w:r w:rsidRPr="00C37197">
        <w:rPr>
          <w:noProof/>
        </w:rPr>
        <w:t>Kodiert einen DOM Dokumentknoten mit seinen enthaltenen Text-, Element- und Attributknoten als binäre Datenstruktur zum wahlfreien Zugriff.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D5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attrUriPool</w:t>
            </w:r>
          </w:p>
        </w:tc>
        <w:tc>
          <w:tcPr>
            <w:tcW w:w="1067" w:type="pct"/>
            <w:noWrap/>
            <w:hideMark/>
          </w:tcPr>
          <w:p w:rsidR="00776293" w:rsidRPr="00C37197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rStyle w:val="TYPE"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Attributknoten.</w:t>
            </w:r>
          </w:p>
        </w:tc>
      </w:tr>
      <w:tr w:rsidR="00D50CE8" w:rsidRPr="00C37197" w:rsidTr="00D50CE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attrNamePool</w:t>
            </w:r>
          </w:p>
        </w:tc>
        <w:tc>
          <w:tcPr>
            <w:tcW w:w="1067" w:type="pct"/>
            <w:noWrap/>
            <w:hideMark/>
          </w:tcPr>
          <w:p w:rsidR="00776293" w:rsidRPr="00C37197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Attributknoten.</w:t>
            </w:r>
          </w:p>
        </w:tc>
      </w:tr>
      <w:tr w:rsidR="00D50CE8" w:rsidRPr="00C37197" w:rsidTr="00D5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attrValuePool</w:t>
            </w:r>
          </w:p>
        </w:tc>
        <w:tc>
          <w:tcPr>
            <w:tcW w:w="1067" w:type="pct"/>
            <w:noWrap/>
          </w:tcPr>
          <w:p w:rsidR="00776293" w:rsidRPr="00C37197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der Attributknoten.</w:t>
            </w:r>
          </w:p>
        </w:tc>
      </w:tr>
      <w:tr w:rsidR="00D50CE8" w:rsidRPr="00C37197" w:rsidTr="00D50CE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attrGroupPool</w:t>
            </w:r>
          </w:p>
        </w:tc>
        <w:tc>
          <w:tcPr>
            <w:tcW w:w="1067" w:type="pct"/>
            <w:noWrap/>
          </w:tcPr>
          <w:p w:rsidR="00776293" w:rsidRPr="00C37197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AttrGroupPool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Attributknotenlisten.</w:t>
            </w:r>
          </w:p>
        </w:tc>
      </w:tr>
      <w:tr w:rsidR="00D50CE8" w:rsidRPr="00C37197" w:rsidTr="00D5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elemUriPool</w:t>
            </w:r>
          </w:p>
        </w:tc>
        <w:tc>
          <w:tcPr>
            <w:tcW w:w="1067" w:type="pct"/>
            <w:noWrap/>
          </w:tcPr>
          <w:p w:rsidR="00776293" w:rsidRPr="00C37197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Elementknoten.</w:t>
            </w:r>
          </w:p>
        </w:tc>
      </w:tr>
      <w:tr w:rsidR="00D50CE8" w:rsidRPr="00C37197" w:rsidTr="00D50CE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elemNamePool</w:t>
            </w:r>
          </w:p>
        </w:tc>
        <w:tc>
          <w:tcPr>
            <w:tcW w:w="1067" w:type="pct"/>
            <w:noWrap/>
          </w:tcPr>
          <w:p w:rsidR="00776293" w:rsidRPr="00C37197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Elementknoten.</w:t>
            </w:r>
          </w:p>
        </w:tc>
      </w:tr>
      <w:tr w:rsidR="00D50CE8" w:rsidRPr="00C37197" w:rsidTr="00D5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elemValuePool</w:t>
            </w:r>
          </w:p>
        </w:tc>
        <w:tc>
          <w:tcPr>
            <w:tcW w:w="1067" w:type="pct"/>
            <w:noWrap/>
          </w:tcPr>
          <w:p w:rsidR="00776293" w:rsidRPr="00C37197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in Elementknoten.</w:t>
            </w:r>
          </w:p>
        </w:tc>
      </w:tr>
      <w:tr w:rsidR="00D50CE8" w:rsidRPr="00C37197" w:rsidTr="00D50CE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elemGroupPool</w:t>
            </w:r>
          </w:p>
        </w:tc>
        <w:tc>
          <w:tcPr>
            <w:tcW w:w="1067" w:type="pct"/>
            <w:noWrap/>
          </w:tcPr>
          <w:p w:rsidR="00776293" w:rsidRPr="00C37197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ElemGroupPool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Kindknotenlisten.</w:t>
            </w:r>
          </w:p>
        </w:tc>
      </w:tr>
      <w:tr w:rsidR="00D50CE8" w:rsidRPr="00C37197" w:rsidTr="00D5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documentGroupRef</w:t>
            </w:r>
          </w:p>
        </w:tc>
        <w:tc>
          <w:tcPr>
            <w:tcW w:w="1067" w:type="pct"/>
            <w:noWrap/>
            <w:hideMark/>
          </w:tcPr>
          <w:p w:rsidR="00776293" w:rsidRPr="00C37197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Kindknotenliste des Dokumentknoten.</w:t>
            </w:r>
            <w:r w:rsidR="0004236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(i+1+</w:t>
            </w:r>
            <w:r w:rsidRPr="00C37197">
              <w:rPr>
                <w:rStyle w:val="FIELD"/>
                <w:noProof/>
              </w:rPr>
              <w:t>elemValuePool.size</w:t>
            </w:r>
            <w:r w:rsidRPr="00C37197">
              <w:rPr>
                <w:noProof/>
              </w:rPr>
              <w:t xml:space="preserve">) als Referenz auf die i-te Kindknotenliste in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.</w:t>
            </w:r>
          </w:p>
        </w:tc>
      </w:tr>
    </w:tbl>
    <w:p w:rsidR="00527C1F" w:rsidRPr="00C37197" w:rsidRDefault="00527C1F" w:rsidP="00112B94">
      <w:pPr>
        <w:pStyle w:val="berschrift1"/>
        <w:rPr>
          <w:noProof/>
        </w:rPr>
      </w:pPr>
      <w:r w:rsidRPr="00C37197">
        <w:rPr>
          <w:noProof/>
        </w:rPr>
        <w:t xml:space="preserve">Datenstruktur: </w:t>
      </w:r>
      <w:r w:rsidRPr="00C37197">
        <w:rPr>
          <w:noProof/>
        </w:rPr>
        <w:t>TextValuePool</w:t>
      </w:r>
    </w:p>
    <w:p w:rsidR="00686939" w:rsidRPr="00C37197" w:rsidRDefault="00527C1F" w:rsidP="00112B94">
      <w:pPr>
        <w:jc w:val="both"/>
        <w:rPr>
          <w:noProof/>
        </w:rPr>
      </w:pPr>
      <w:r w:rsidRPr="00C37197">
        <w:rPr>
          <w:noProof/>
        </w:rPr>
        <w:t>Kodiert eine Auflistung von Zeichenketten.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D50CE8" w:rsidRPr="00C37197" w:rsidTr="0029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Zeichenketten.</w:t>
            </w:r>
          </w:p>
        </w:tc>
      </w:tr>
      <w:tr w:rsidR="00D50CE8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D50CE8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1067" w:type="pct"/>
            <w:noWrap/>
          </w:tcPr>
          <w:p w:rsidR="00D50CE8" w:rsidRPr="00C37197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Zeichenketten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>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Das erste Byte der i-ten Zeichenkette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das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D50CE8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1067" w:type="pct"/>
            <w:noWrap/>
          </w:tcPr>
          <w:p w:rsidR="00D50CE8" w:rsidRPr="00C37197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TextValueItem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Bytes der Zeichenketten.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 xml:space="preserve">Datenstruktur: </w:t>
      </w:r>
      <w:r w:rsidRPr="00C37197">
        <w:rPr>
          <w:noProof/>
        </w:rPr>
        <w:t>TextValueItem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Zeichenkette.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Anzahl der Bytes </w:t>
            </w:r>
            <w:r w:rsidR="001506F1" w:rsidRPr="00C37197">
              <w:rPr>
                <w:noProof/>
              </w:rPr>
              <w:t xml:space="preserve">in </w:t>
            </w:r>
            <w:r w:rsidR="001506F1" w:rsidRPr="00C37197">
              <w:rPr>
                <w:rStyle w:val="FIELD"/>
                <w:noProof/>
              </w:rPr>
              <w:t>data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data</w:t>
            </w:r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Bytes der </w:t>
            </w:r>
            <w:r w:rsidR="001506F1" w:rsidRPr="00C37197">
              <w:rPr>
                <w:noProof/>
              </w:rPr>
              <w:t xml:space="preserve">UTF-8-kodierten </w:t>
            </w:r>
            <w:r w:rsidRPr="00C37197">
              <w:rPr>
                <w:noProof/>
              </w:rPr>
              <w:t>Zeichenkette.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AttrGroupPool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Auflistung von Attributknotenlisten.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45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1067" w:type="pct"/>
            <w:noWrap/>
            <w:hideMark/>
          </w:tcPr>
          <w:p w:rsidR="00767AFE" w:rsidRPr="00C37197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Attributknotenlisten.</w:t>
            </w:r>
          </w:p>
        </w:tc>
      </w:tr>
      <w:tr w:rsidR="00767AFE" w:rsidRPr="00C37197" w:rsidTr="00455562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1067" w:type="pct"/>
            <w:noWrap/>
            <w:hideMark/>
          </w:tcPr>
          <w:p w:rsidR="00767AFE" w:rsidRPr="00C37197" w:rsidRDefault="00767AFE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767AFE" w:rsidRPr="00C37197" w:rsidTr="0045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1067" w:type="pct"/>
            <w:noWrap/>
          </w:tcPr>
          <w:p w:rsidR="00767AFE" w:rsidRPr="00C37197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Attributknotenlisten im Speicherbereich </w:t>
            </w:r>
            <w:r w:rsidR="006B354B"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>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Der erste Attributknoten der i-ten Attributknotenliste liegt bei </w:t>
            </w:r>
            <w:r w:rsidR="006B354B" w:rsidRPr="00C37197">
              <w:rPr>
                <w:noProof/>
              </w:rPr>
              <w:t>Position</w:t>
            </w:r>
            <w:r w:rsidRPr="00C37197">
              <w:rPr>
                <w:noProof/>
              </w:rPr>
              <w:t xml:space="preserve">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[i+1].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767AFE" w:rsidRPr="00C37197" w:rsidTr="00455562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1067" w:type="pct"/>
            <w:noWrap/>
          </w:tcPr>
          <w:p w:rsidR="00767AFE" w:rsidRPr="00C37197" w:rsidRDefault="006B354B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Attr</w:t>
            </w:r>
            <w:r w:rsidR="00767AFE" w:rsidRPr="00C37197">
              <w:rPr>
                <w:rStyle w:val="TYPE"/>
                <w:noProof/>
              </w:rPr>
              <w:t>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Attributknoten aller Attributknotenlisten.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AttrGroupItem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Attributknotenliste.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D37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1067" w:type="pct"/>
            <w:noWrap/>
            <w:hideMark/>
          </w:tcPr>
          <w:p w:rsidR="00767AFE" w:rsidRPr="00C37197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2228" w:type="pct"/>
            <w:noWrap/>
            <w:hideMark/>
          </w:tcPr>
          <w:p w:rsidR="00767AFE" w:rsidRPr="00C37197" w:rsidRDefault="00042366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Länge der Liste.</w:t>
            </w:r>
          </w:p>
        </w:tc>
      </w:tr>
      <w:tr w:rsidR="00767AFE" w:rsidRPr="00C37197" w:rsidTr="00D3798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1067" w:type="pct"/>
            <w:noWrap/>
            <w:hideMark/>
          </w:tcPr>
          <w:p w:rsidR="00767AFE" w:rsidRPr="00C37197" w:rsidRDefault="00767AFE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AttrGrpupNode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Attributknoten der</w:t>
            </w:r>
            <w:r w:rsidR="006B354B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Liste.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AttrGroupNode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einen Attributknoten.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1B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1067" w:type="pct"/>
            <w:noWrap/>
            <w:hideMark/>
          </w:tcPr>
          <w:p w:rsidR="00767AFE" w:rsidRPr="00C37197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0..1</w:t>
            </w:r>
          </w:p>
        </w:tc>
        <w:tc>
          <w:tcPr>
            <w:tcW w:w="2228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 xml:space="preserve"> leer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(0), wenn der Attributknoten keinen URI besitzt.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(i+1) als Referenz auf den i-ten URI im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>.</w:t>
            </w:r>
          </w:p>
        </w:tc>
      </w:tr>
      <w:tr w:rsidR="00767AFE" w:rsidRPr="00C37197" w:rsidTr="001B2F3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1067" w:type="pct"/>
            <w:noWrap/>
            <w:hideMark/>
          </w:tcPr>
          <w:p w:rsidR="00767AFE" w:rsidRPr="00C37197" w:rsidRDefault="00767AFE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Namen im </w:t>
            </w:r>
            <w:r w:rsidRPr="00C37197">
              <w:rPr>
                <w:rStyle w:val="FIELD"/>
                <w:noProof/>
              </w:rPr>
              <w:t>attrNamePool</w:t>
            </w:r>
            <w:r w:rsidRPr="00C37197">
              <w:rPr>
                <w:noProof/>
              </w:rPr>
              <w:t>.</w:t>
            </w:r>
          </w:p>
        </w:tc>
      </w:tr>
      <w:tr w:rsidR="00767AFE" w:rsidRPr="00C37197" w:rsidTr="001B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valueRef</w:t>
            </w:r>
          </w:p>
        </w:tc>
        <w:tc>
          <w:tcPr>
            <w:tcW w:w="1067" w:type="pct"/>
            <w:noWrap/>
          </w:tcPr>
          <w:p w:rsidR="00767AFE" w:rsidRPr="00C37197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Wert im </w:t>
            </w:r>
            <w:r w:rsidRPr="00C37197">
              <w:rPr>
                <w:rStyle w:val="FIELD"/>
                <w:noProof/>
              </w:rPr>
              <w:t>attrValuePool</w:t>
            </w:r>
            <w:r w:rsidRPr="00C37197">
              <w:rPr>
                <w:noProof/>
              </w:rPr>
              <w:t>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 xml:space="preserve">Datenstruktur: </w:t>
      </w:r>
      <w:r w:rsidRPr="00C37197">
        <w:rPr>
          <w:noProof/>
        </w:rPr>
        <w:t>ElemGroupPool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Kindknotenlisten.</w:t>
            </w:r>
          </w:p>
        </w:tc>
      </w:tr>
      <w:tr w:rsidR="00D50CE8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D50CE8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lastRenderedPageBreak/>
              <w:t>offset</w:t>
            </w:r>
          </w:p>
        </w:tc>
        <w:tc>
          <w:tcPr>
            <w:tcW w:w="1067" w:type="pct"/>
            <w:noWrap/>
          </w:tcPr>
          <w:p w:rsidR="00D50CE8" w:rsidRPr="00C37197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Kindknotenlisten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>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Der erste Kindknoten der i-ten Kindknotenliste liegt bei </w:t>
            </w:r>
            <w:r w:rsidR="006B354B" w:rsidRPr="00C37197">
              <w:rPr>
                <w:noProof/>
              </w:rPr>
              <w:t>Position</w:t>
            </w:r>
            <w:r w:rsidRPr="00C37197">
              <w:rPr>
                <w:noProof/>
              </w:rPr>
              <w:t xml:space="preserve">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[i+1].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D50CE8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1067" w:type="pct"/>
            <w:noWrap/>
          </w:tcPr>
          <w:p w:rsidR="00D50CE8" w:rsidRPr="00C37197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ElemGroupItem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Kindknoten der Kindknotenlisten.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>Datenstruktur: ElemGroup</w:t>
      </w:r>
      <w:r w:rsidRPr="00C37197">
        <w:rPr>
          <w:noProof/>
        </w:rPr>
        <w:t>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Länge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1067" w:type="pct"/>
            <w:noWrap/>
            <w:hideMark/>
          </w:tcPr>
          <w:p w:rsidR="00D50CE8" w:rsidRPr="00C37197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noProof/>
              </w:rPr>
            </w:pPr>
            <w:r w:rsidRPr="00C37197">
              <w:rPr>
                <w:rStyle w:val="TYPE"/>
                <w:noProof/>
              </w:rPr>
              <w:t>ElemGrpupNode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2228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Kindknoten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</w:tbl>
    <w:p w:rsidR="00DB3DE7" w:rsidRPr="00C37197" w:rsidRDefault="00DB3DE7" w:rsidP="00112B94">
      <w:pPr>
        <w:pStyle w:val="berschrift1"/>
        <w:rPr>
          <w:noProof/>
        </w:rPr>
      </w:pPr>
      <w:r w:rsidRPr="00C37197">
        <w:rPr>
          <w:noProof/>
        </w:rPr>
        <w:t>Datenstruktur: ElemGroup</w:t>
      </w:r>
      <w:r w:rsidRPr="00C37197">
        <w:rPr>
          <w:noProof/>
        </w:rPr>
        <w:t>Node</w:t>
      </w:r>
    </w:p>
    <w:p w:rsidR="00DB3DE7" w:rsidRPr="00C37197" w:rsidRDefault="00DB3DE7" w:rsidP="00112B94">
      <w:pPr>
        <w:jc w:val="both"/>
        <w:rPr>
          <w:noProof/>
        </w:rPr>
      </w:pPr>
      <w:r w:rsidRPr="00C37197">
        <w:rPr>
          <w:noProof/>
        </w:rPr>
        <w:t>Kodiert einen Kindknoten meist als Element- und sehr selten als Textknoten.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2087"/>
        <w:gridCol w:w="1982"/>
        <w:gridCol w:w="1079"/>
        <w:gridCol w:w="4138"/>
      </w:tblGrid>
      <w:tr w:rsidR="002910C9" w:rsidRPr="00C37197" w:rsidTr="00D91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1067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2910C9" w:rsidRPr="00C37197" w:rsidRDefault="002910C9" w:rsidP="00112B94">
            <w:r w:rsidRPr="00C37197">
              <w:t>A</w:t>
            </w:r>
            <w:r w:rsidRPr="00C37197">
              <w:t>n</w:t>
            </w:r>
            <w:r w:rsidRPr="00C37197">
              <w:t>zahl</w:t>
            </w:r>
          </w:p>
        </w:tc>
        <w:tc>
          <w:tcPr>
            <w:tcW w:w="2228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B3DE7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B3DE7" w:rsidRPr="00C37197" w:rsidRDefault="00DB3DE7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1067" w:type="pct"/>
            <w:noWrap/>
            <w:hideMark/>
          </w:tcPr>
          <w:p w:rsidR="00DB3DE7" w:rsidRPr="00C37197" w:rsidRDefault="00DB3DE7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B3DE7" w:rsidRPr="00C37197" w:rsidRDefault="00DB3DE7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0..1</w:t>
            </w:r>
          </w:p>
        </w:tc>
        <w:tc>
          <w:tcPr>
            <w:tcW w:w="2228" w:type="pct"/>
            <w:noWrap/>
            <w:hideMark/>
          </w:tcPr>
          <w:p w:rsidR="00DB3DE7" w:rsidRPr="00C37197" w:rsidRDefault="00DB3DE7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 xml:space="preserve"> leer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0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>, wenn der Kindknoten ein Textknoten oder ein Elementknoten ohne URI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 xml:space="preserve"> als Referenz auf den i-ten URI im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>, wenn der Kindknoten ein Elementknoten ist.</w:t>
            </w:r>
          </w:p>
        </w:tc>
      </w:tr>
      <w:tr w:rsidR="00DB3DE7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  <w:hideMark/>
          </w:tcPr>
          <w:p w:rsidR="00DB3DE7" w:rsidRPr="00C37197" w:rsidRDefault="00DB3DE7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1067" w:type="pct"/>
            <w:noWrap/>
            <w:hideMark/>
          </w:tcPr>
          <w:p w:rsidR="00DB3DE7" w:rsidRPr="00C37197" w:rsidRDefault="00DB3DE7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  <w:hideMark/>
          </w:tcPr>
          <w:p w:rsidR="00DB3DE7" w:rsidRPr="00C37197" w:rsidRDefault="00DB3DE7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  <w:hideMark/>
          </w:tcPr>
          <w:p w:rsidR="00DB3DE7" w:rsidRPr="00C37197" w:rsidRDefault="00DB3DE7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0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>, wenn der Kindknoten ein Textknoten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 xml:space="preserve"> als Referenz auf den i-ten Namen im </w:t>
            </w:r>
            <w:r w:rsidRPr="00C37197">
              <w:rPr>
                <w:rStyle w:val="FIELD"/>
                <w:noProof/>
              </w:rPr>
              <w:t>elemNamePool</w:t>
            </w:r>
            <w:r w:rsidRPr="00C37197">
              <w:rPr>
                <w:noProof/>
              </w:rPr>
              <w:t>, wenn der Kindknoten ein Elementknoten ist.</w:t>
            </w:r>
          </w:p>
        </w:tc>
      </w:tr>
      <w:tr w:rsidR="00DB3DE7" w:rsidRPr="00C37197" w:rsidTr="00D91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DB3DE7" w:rsidRPr="00C37197" w:rsidRDefault="00DB3DE7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contentRef</w:t>
            </w:r>
          </w:p>
        </w:tc>
        <w:tc>
          <w:tcPr>
            <w:tcW w:w="1067" w:type="pct"/>
            <w:noWrap/>
          </w:tcPr>
          <w:p w:rsidR="00DB3DE7" w:rsidRPr="00C37197" w:rsidRDefault="00DB3DE7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DB3DE7" w:rsidRPr="00C37197" w:rsidRDefault="00DB3DE7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2228" w:type="pct"/>
            <w:noWrap/>
          </w:tcPr>
          <w:p w:rsidR="00DB3DE7" w:rsidRPr="00C37197" w:rsidRDefault="00DB3DE7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0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>, wenn der Kindknoten ein Elementknoten ohne Kindknoten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 xml:space="preserve"> als Referenz auf den i-ten Wert im </w:t>
            </w:r>
            <w:r w:rsidRPr="00C37197">
              <w:rPr>
                <w:rStyle w:val="FIELD"/>
                <w:noProof/>
              </w:rPr>
              <w:t>elemValuePool</w:t>
            </w:r>
            <w:r w:rsidRPr="00C37197">
              <w:rPr>
                <w:noProof/>
              </w:rPr>
              <w:t>, wenn der Kindknoten ein Textknoten oder ein kindelementloser Elementknoten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i+1+</w:t>
            </w:r>
            <w:r w:rsidRPr="00C37197">
              <w:rPr>
                <w:rStyle w:val="FIELD"/>
                <w:noProof/>
              </w:rPr>
              <w:t>elemValuePool.size</w:t>
            </w:r>
            <w:r w:rsidR="004140F6" w:rsidRPr="00C37197">
              <w:rPr>
                <w:noProof/>
              </w:rPr>
              <w:t xml:space="preserve">) </w:t>
            </w:r>
            <w:r w:rsidRPr="00C37197">
              <w:rPr>
                <w:noProof/>
              </w:rPr>
              <w:t xml:space="preserve">als Referenz auf die i-te Kindknotenliste im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, wenn der Kindknoten ein Elementknoten mit Kindelementen ist.</w:t>
            </w:r>
          </w:p>
        </w:tc>
      </w:tr>
      <w:tr w:rsidR="00DB3DE7" w:rsidRPr="00C37197" w:rsidTr="00D91440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pct"/>
            <w:noWrap/>
          </w:tcPr>
          <w:p w:rsidR="00DB3DE7" w:rsidRPr="00C37197" w:rsidRDefault="00DB3DE7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attributesRef</w:t>
            </w:r>
          </w:p>
        </w:tc>
        <w:tc>
          <w:tcPr>
            <w:tcW w:w="1067" w:type="pct"/>
            <w:noWrap/>
          </w:tcPr>
          <w:p w:rsidR="00DB3DE7" w:rsidRPr="00C37197" w:rsidRDefault="00DB3DE7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rPr>
                <w:rStyle w:val="TYPE"/>
                <w:noProof/>
              </w:rPr>
              <w:t>INT1..4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noWrap/>
          </w:tcPr>
          <w:p w:rsidR="00DB3DE7" w:rsidRPr="00C37197" w:rsidRDefault="00DB3DE7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0..1</w:t>
            </w:r>
          </w:p>
        </w:tc>
        <w:tc>
          <w:tcPr>
            <w:tcW w:w="2228" w:type="pct"/>
            <w:noWrap/>
          </w:tcPr>
          <w:p w:rsidR="00DB3DE7" w:rsidRPr="00C37197" w:rsidRDefault="00DB3DE7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 xml:space="preserve"> leer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0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>, wenn der Kindknoten ein Textknoten oder ein Elementknoten ohne Attributknoten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 xml:space="preserve"> als Referenz auf die i-te Attributknotenliste im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>, wenn der Kindknoten ein Elementknoten mit Attributknoten ist.</w:t>
            </w:r>
          </w:p>
        </w:tc>
      </w:tr>
    </w:tbl>
    <w:p w:rsidR="00A80CEC" w:rsidRPr="00C37197" w:rsidRDefault="00A80CEC" w:rsidP="00112B94">
      <w:pPr>
        <w:pStyle w:val="berschrift1"/>
        <w:rPr>
          <w:noProof/>
        </w:rPr>
      </w:pPr>
    </w:p>
    <w:sectPr w:rsidR="00A80CEC" w:rsidRPr="00C37197" w:rsidSect="00D50C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B4" w:rsidRDefault="00B70AB4" w:rsidP="007F11F9">
      <w:pPr>
        <w:spacing w:after="0" w:line="240" w:lineRule="auto"/>
      </w:pPr>
      <w:r>
        <w:separator/>
      </w:r>
    </w:p>
  </w:endnote>
  <w:endnote w:type="continuationSeparator" w:id="0">
    <w:p w:rsidR="00B70AB4" w:rsidRDefault="00B70AB4" w:rsidP="007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E4C" w:rsidRDefault="00812C61" w:rsidP="007F11F9">
    <w:pPr>
      <w:pStyle w:val="Fuzeile"/>
    </w:pPr>
    <w:fldSimple w:instr=" FILENAME   \* MERGEFORMAT ">
      <w:r w:rsidR="00BE2906">
        <w:rPr>
          <w:noProof/>
        </w:rPr>
        <w:t>Spezifikation BEX v1.docx</w:t>
      </w:r>
    </w:fldSimple>
    <w:r w:rsidR="007F11F9">
      <w:tab/>
    </w:r>
    <w:r w:rsidR="007F11F9">
      <w:fldChar w:fldCharType="begin"/>
    </w:r>
    <w:r w:rsidR="007F11F9">
      <w:instrText>PAGE   \* MERGEFORMAT</w:instrText>
    </w:r>
    <w:r w:rsidR="007F11F9">
      <w:fldChar w:fldCharType="separate"/>
    </w:r>
    <w:r w:rsidR="00082E4C">
      <w:rPr>
        <w:noProof/>
      </w:rPr>
      <w:t>1</w:t>
    </w:r>
    <w:r w:rsidR="007F11F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B4" w:rsidRDefault="00B70AB4" w:rsidP="007F11F9">
      <w:pPr>
        <w:spacing w:after="0" w:line="240" w:lineRule="auto"/>
      </w:pPr>
      <w:r>
        <w:separator/>
      </w:r>
    </w:p>
  </w:footnote>
  <w:footnote w:type="continuationSeparator" w:id="0">
    <w:p w:rsidR="00B70AB4" w:rsidRDefault="00B70AB4" w:rsidP="007F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  <w:r>
      <w:t xml:space="preserve">Spezifikation BEX – </w:t>
    </w:r>
    <w:r w:rsidRPr="00C37197">
      <w:rPr>
        <w:noProof/>
      </w:rPr>
      <w:t>Binary Encoded XML</w:t>
    </w:r>
    <w:r>
      <w:rPr>
        <w:noProof/>
      </w:rPr>
      <w:tab/>
    </w:r>
    <w:r>
      <w:rPr>
        <w:noProof/>
      </w:rPr>
      <w:tab/>
    </w:r>
    <w:r>
      <w:t>18.02.2014</w:t>
    </w:r>
  </w:p>
  <w:p w:rsidR="00082E4C" w:rsidRDefault="00082E4C" w:rsidP="00082E4C">
    <w:pPr>
      <w:pStyle w:val="Fuzeile"/>
    </w:pP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59F9"/>
    <w:rsid w:val="0001654F"/>
    <w:rsid w:val="00042366"/>
    <w:rsid w:val="00082E4C"/>
    <w:rsid w:val="000D028A"/>
    <w:rsid w:val="000D76B6"/>
    <w:rsid w:val="000F036E"/>
    <w:rsid w:val="00112B94"/>
    <w:rsid w:val="00115DD3"/>
    <w:rsid w:val="001466A1"/>
    <w:rsid w:val="001504E1"/>
    <w:rsid w:val="001506F1"/>
    <w:rsid w:val="00155D06"/>
    <w:rsid w:val="001576E3"/>
    <w:rsid w:val="00183B06"/>
    <w:rsid w:val="00190AAE"/>
    <w:rsid w:val="001D40DC"/>
    <w:rsid w:val="001E4731"/>
    <w:rsid w:val="0022146B"/>
    <w:rsid w:val="00222448"/>
    <w:rsid w:val="00266880"/>
    <w:rsid w:val="002910C9"/>
    <w:rsid w:val="002C3534"/>
    <w:rsid w:val="00313EAC"/>
    <w:rsid w:val="00365A36"/>
    <w:rsid w:val="003A7636"/>
    <w:rsid w:val="003E2E52"/>
    <w:rsid w:val="004140F6"/>
    <w:rsid w:val="00493F64"/>
    <w:rsid w:val="004D68CD"/>
    <w:rsid w:val="00527C1F"/>
    <w:rsid w:val="00551D38"/>
    <w:rsid w:val="00576839"/>
    <w:rsid w:val="005B546C"/>
    <w:rsid w:val="005B7B0E"/>
    <w:rsid w:val="005E6F46"/>
    <w:rsid w:val="005E76DA"/>
    <w:rsid w:val="006543F8"/>
    <w:rsid w:val="00665179"/>
    <w:rsid w:val="00666A5A"/>
    <w:rsid w:val="00677051"/>
    <w:rsid w:val="00680995"/>
    <w:rsid w:val="00686939"/>
    <w:rsid w:val="006B354B"/>
    <w:rsid w:val="006F4FB9"/>
    <w:rsid w:val="00740968"/>
    <w:rsid w:val="00754442"/>
    <w:rsid w:val="00767AFE"/>
    <w:rsid w:val="00776293"/>
    <w:rsid w:val="00785EFE"/>
    <w:rsid w:val="007A0560"/>
    <w:rsid w:val="007F11F9"/>
    <w:rsid w:val="00812C61"/>
    <w:rsid w:val="0086164F"/>
    <w:rsid w:val="0087514C"/>
    <w:rsid w:val="009030E4"/>
    <w:rsid w:val="009118EA"/>
    <w:rsid w:val="009133E4"/>
    <w:rsid w:val="00922A01"/>
    <w:rsid w:val="0099426F"/>
    <w:rsid w:val="009A5648"/>
    <w:rsid w:val="009B06E1"/>
    <w:rsid w:val="009C5247"/>
    <w:rsid w:val="009D40C5"/>
    <w:rsid w:val="009F6DD5"/>
    <w:rsid w:val="00A00B6E"/>
    <w:rsid w:val="00A41D30"/>
    <w:rsid w:val="00A421AD"/>
    <w:rsid w:val="00A50790"/>
    <w:rsid w:val="00A80CEC"/>
    <w:rsid w:val="00A851B6"/>
    <w:rsid w:val="00AA3A49"/>
    <w:rsid w:val="00AE5CD1"/>
    <w:rsid w:val="00AF5610"/>
    <w:rsid w:val="00B61DA2"/>
    <w:rsid w:val="00B70AB4"/>
    <w:rsid w:val="00B94383"/>
    <w:rsid w:val="00BA710F"/>
    <w:rsid w:val="00BA71B4"/>
    <w:rsid w:val="00BE170A"/>
    <w:rsid w:val="00BE2906"/>
    <w:rsid w:val="00C304C5"/>
    <w:rsid w:val="00C37197"/>
    <w:rsid w:val="00C42313"/>
    <w:rsid w:val="00C816E7"/>
    <w:rsid w:val="00C91F11"/>
    <w:rsid w:val="00D00D0D"/>
    <w:rsid w:val="00D137E2"/>
    <w:rsid w:val="00D40343"/>
    <w:rsid w:val="00D41466"/>
    <w:rsid w:val="00D436E2"/>
    <w:rsid w:val="00D50CE8"/>
    <w:rsid w:val="00DB3DE7"/>
    <w:rsid w:val="00DE1E6B"/>
    <w:rsid w:val="00DE4522"/>
    <w:rsid w:val="00DE7B6A"/>
    <w:rsid w:val="00E946FE"/>
    <w:rsid w:val="00ED2884"/>
    <w:rsid w:val="00EF07A2"/>
    <w:rsid w:val="00F25738"/>
    <w:rsid w:val="00F54F81"/>
    <w:rsid w:val="00F6263F"/>
    <w:rsid w:val="00F63EFF"/>
    <w:rsid w:val="00F870DA"/>
    <w:rsid w:val="00FD7A3E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112B94"/>
    <w:pPr>
      <w:keepNext/>
      <w:keepLines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2B94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A05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0560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112B94"/>
    <w:pPr>
      <w:keepNext/>
      <w:keepLines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2B94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A05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A0560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D863C-8106-4F14-946C-D258C7BF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4737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4</cp:revision>
  <dcterms:created xsi:type="dcterms:W3CDTF">2014-02-18T14:31:00Z</dcterms:created>
  <dcterms:modified xsi:type="dcterms:W3CDTF">2014-02-18T14:33:00Z</dcterms:modified>
</cp:coreProperties>
</file>