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D3857" w14:textId="4DE041D3" w:rsidR="000346ED" w:rsidRDefault="00524EC7" w:rsidP="00524EC7">
      <w:pPr>
        <w:pStyle w:val="Gem2Tekst11"/>
        <w:ind w:left="0"/>
        <w:rPr>
          <w:rFonts w:ascii="Roboto Medium" w:hAnsi="Roboto Medium"/>
          <w:color w:val="00B0B9"/>
          <w:sz w:val="24"/>
          <w:szCs w:val="24"/>
          <w:lang w:val="fr-FR"/>
        </w:rPr>
      </w:pPr>
      <w:proofErr w:type="spellStart"/>
      <w:r>
        <w:rPr>
          <w:rFonts w:ascii="Roboto Medium" w:hAnsi="Roboto Medium"/>
          <w:color w:val="00B0B9"/>
          <w:sz w:val="24"/>
          <w:szCs w:val="24"/>
          <w:lang w:val="fr-FR"/>
        </w:rPr>
        <w:t>Demografia</w:t>
      </w:r>
      <w:proofErr w:type="spellEnd"/>
    </w:p>
    <w:tbl>
      <w:tblPr>
        <w:tblW w:w="98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97"/>
        <w:gridCol w:w="6450"/>
      </w:tblGrid>
      <w:tr w:rsidR="00524EC7" w:rsidRPr="00A20691" w14:paraId="7C12107E" w14:textId="77777777" w:rsidTr="0087383B">
        <w:trPr>
          <w:trHeight w:val="717"/>
        </w:trPr>
        <w:tc>
          <w:tcPr>
            <w:tcW w:w="9847" w:type="dxa"/>
            <w:gridSpan w:val="2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shd w:val="clear" w:color="auto" w:fill="00B0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EDFF2" w14:textId="77777777" w:rsidR="00524EC7" w:rsidRPr="00A20691" w:rsidRDefault="00524EC7" w:rsidP="0087383B">
            <w:pPr>
              <w:keepNext/>
              <w:keepLines/>
              <w:spacing w:before="40" w:after="0" w:line="288" w:lineRule="auto"/>
              <w:outlineLvl w:val="3"/>
              <w:rPr>
                <w:rFonts w:ascii="Roboto" w:eastAsia="SimHei" w:hAnsi="Roboto" w:cs="Times New Roman"/>
                <w:b/>
                <w:bCs/>
                <w:color w:val="FFFFFF"/>
                <w:kern w:val="0"/>
                <w:sz w:val="18"/>
                <w:szCs w:val="18"/>
                <w:lang w:eastAsia="de-CH"/>
                <w14:ligatures w14:val="none"/>
              </w:rPr>
            </w:pPr>
            <w:r w:rsidRPr="00A20691">
              <w:rPr>
                <w:rFonts w:ascii="Roboto" w:eastAsia="SimHei" w:hAnsi="Roboto" w:cs="Times New Roman"/>
                <w:b/>
                <w:bCs/>
                <w:color w:val="FFFFFF"/>
                <w:kern w:val="0"/>
                <w:sz w:val="18"/>
                <w:szCs w:val="18"/>
                <w:lang w:eastAsia="de-CH"/>
                <w14:ligatures w14:val="none"/>
              </w:rPr>
              <w:t>DEMOGRAPHY (DEMOGRAFIA)</w:t>
            </w:r>
          </w:p>
        </w:tc>
      </w:tr>
      <w:tr w:rsidR="00524EC7" w:rsidRPr="00A20691" w14:paraId="2B848B3E" w14:textId="77777777" w:rsidTr="0087383B">
        <w:trPr>
          <w:trHeight w:val="717"/>
        </w:trPr>
        <w:tc>
          <w:tcPr>
            <w:tcW w:w="3397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F99D9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Gender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(płeć)</w:t>
            </w:r>
          </w:p>
        </w:tc>
        <w:tc>
          <w:tcPr>
            <w:tcW w:w="6450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DFF35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female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(kobieta),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male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(mężczyzna)</w:t>
            </w:r>
          </w:p>
        </w:tc>
      </w:tr>
      <w:tr w:rsidR="00524EC7" w:rsidRPr="00A20691" w14:paraId="068400F3" w14:textId="77777777" w:rsidTr="0087383B">
        <w:trPr>
          <w:trHeight w:val="717"/>
        </w:trPr>
        <w:tc>
          <w:tcPr>
            <w:tcW w:w="3397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E8E16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Age (wiek)</w:t>
            </w:r>
          </w:p>
        </w:tc>
        <w:tc>
          <w:tcPr>
            <w:tcW w:w="6450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D9D2F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7-14, 15-19, 20-24, 25-29, 30-34, 35-39, 40-44, 45-49, 50-54, 55-59, 60-64, 65-69, 70-75</w:t>
            </w:r>
          </w:p>
        </w:tc>
      </w:tr>
      <w:tr w:rsidR="00524EC7" w:rsidRPr="00A20691" w14:paraId="4C7BAE90" w14:textId="77777777" w:rsidTr="0087383B">
        <w:trPr>
          <w:trHeight w:val="717"/>
        </w:trPr>
        <w:tc>
          <w:tcPr>
            <w:tcW w:w="3397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51AE9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Education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(wykształcenie)</w:t>
            </w:r>
          </w:p>
        </w:tc>
        <w:tc>
          <w:tcPr>
            <w:tcW w:w="6450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60BB3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none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or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incompleted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primary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(brak lub nieukończone podstawowe),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primary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or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lower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secondary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(podstawowe lub gimnazjalne),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vocational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(zasadnicze zawodowe),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secondary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(średnie),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higher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(wyższe)</w:t>
            </w:r>
          </w:p>
        </w:tc>
      </w:tr>
      <w:tr w:rsidR="00524EC7" w:rsidRPr="00A20691" w14:paraId="79924E3C" w14:textId="77777777" w:rsidTr="0087383B">
        <w:trPr>
          <w:trHeight w:val="717"/>
        </w:trPr>
        <w:tc>
          <w:tcPr>
            <w:tcW w:w="3397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4B0AA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Place of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living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size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(wielkość miejscowości zamieszkania)</w:t>
            </w:r>
          </w:p>
        </w:tc>
        <w:tc>
          <w:tcPr>
            <w:tcW w:w="6450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A483E" w14:textId="77777777" w:rsidR="00524EC7" w:rsidRPr="00A20691" w:rsidRDefault="00524EC7" w:rsidP="0087383B">
            <w:pPr>
              <w:suppressAutoHyphens/>
              <w:autoSpaceDN w:val="0"/>
              <w:spacing w:before="40" w:after="240" w:line="276" w:lineRule="auto"/>
              <w:textAlignment w:val="baseline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village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(wieś), Town: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up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to 20k (miasto do 20 000 mieszkańców), Town: 20-50k (miasto od 20 000 do 50 000 mieszkańców), Town: 50-100 k (miasto od 50 000 do 100 000 mieszkańców), City: 100-200k (miasto od 100 000 do 200 000 mieszkańców), City: 200-500k (miasto od 200 000 do 500 000 mieszkańców), City: 500k (miasto powyżej 500 000 mieszańców)</w:t>
            </w:r>
          </w:p>
        </w:tc>
      </w:tr>
      <w:tr w:rsidR="00524EC7" w:rsidRPr="00A20691" w14:paraId="20CF166F" w14:textId="77777777" w:rsidTr="0087383B">
        <w:trPr>
          <w:trHeight w:val="717"/>
        </w:trPr>
        <w:tc>
          <w:tcPr>
            <w:tcW w:w="3397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03A38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Region (województwo)</w:t>
            </w:r>
          </w:p>
        </w:tc>
        <w:tc>
          <w:tcPr>
            <w:tcW w:w="6450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6823C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Dolnośląskie, Kujawsko-pomorskie, Lubelskie, Lubuskie, Łódzkie, Małopolskie, Mazowieckie, Opolskie, Podkarpackie, Podlaskie, Pomorskie, Śląskie, Świętokrzyskie, Warmińsko-mazurskie, Wielkopolskie, Zachodniopomorskie, No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answer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(brak odpowiedzi)</w:t>
            </w:r>
          </w:p>
        </w:tc>
      </w:tr>
      <w:tr w:rsidR="00524EC7" w:rsidRPr="00A20691" w14:paraId="406CF8C3" w14:textId="77777777" w:rsidTr="0087383B">
        <w:trPr>
          <w:trHeight w:val="717"/>
        </w:trPr>
        <w:tc>
          <w:tcPr>
            <w:tcW w:w="3397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9C639C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Employment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status (status zawodowy)</w:t>
            </w:r>
          </w:p>
        </w:tc>
        <w:tc>
          <w:tcPr>
            <w:tcW w:w="6450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A635DB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Employed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(zatrudnieni),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pupils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and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students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(uczniowie I studenci),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retirees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and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pensioners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(emeryci i renciści),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people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managing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the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family's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home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(osoby zarządzające gospodarstwem domowym),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unemployed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(niezatrudnieni),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other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situation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(inna sytuacja zawodowa), not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asked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(pytanie nie zostało zadane)</w:t>
            </w:r>
          </w:p>
        </w:tc>
      </w:tr>
      <w:tr w:rsidR="00524EC7" w:rsidRPr="00A20691" w14:paraId="713F3B0C" w14:textId="77777777" w:rsidTr="0087383B">
        <w:trPr>
          <w:trHeight w:val="717"/>
        </w:trPr>
        <w:tc>
          <w:tcPr>
            <w:tcW w:w="3397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02164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Occupation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(zawód)</w:t>
            </w:r>
          </w:p>
        </w:tc>
        <w:tc>
          <w:tcPr>
            <w:tcW w:w="6450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DB6EB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CEO,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director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, top-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level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managers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(prezes, dyrektor, kierownik wyższego szczebla),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middle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or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low-level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managers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(kierownik średniego lub niższego szczebla), business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owners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(właściciel firmy),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self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employed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(samozatrudniony),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highly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qualified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specialists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,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freelanders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(specjalista, wolny zawód),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administration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clerk (urzędnik), trading and service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industry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wosrker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(pracownik usług lub handlu),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uniformed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services (pracownik niewykwalifikowany),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skilled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worker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(pracownik wykwalifikowany),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farmers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(rolnik),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others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(inne), not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applicable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(nie dotyczy), no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answer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(brak odpowiedzi)</w:t>
            </w:r>
          </w:p>
        </w:tc>
      </w:tr>
      <w:tr w:rsidR="00524EC7" w:rsidRPr="00A20691" w14:paraId="63E6D7B1" w14:textId="77777777" w:rsidTr="0087383B">
        <w:trPr>
          <w:trHeight w:val="717"/>
        </w:trPr>
        <w:tc>
          <w:tcPr>
            <w:tcW w:w="3397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C927DC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Personal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income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(dochód)</w:t>
            </w:r>
          </w:p>
        </w:tc>
        <w:tc>
          <w:tcPr>
            <w:tcW w:w="6450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AD6FF" w14:textId="77777777" w:rsidR="00524EC7" w:rsidRPr="00A20691" w:rsidRDefault="00524EC7" w:rsidP="0087383B">
            <w:pPr>
              <w:suppressAutoHyphens/>
              <w:autoSpaceDN w:val="0"/>
              <w:spacing w:before="40" w:after="240" w:line="276" w:lineRule="auto"/>
              <w:textAlignment w:val="baseline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Mniej niż 1000 zł, 1001-2000 zł, 2001-3000 zł, 3001-4000 zł, 4001-5000 zł, więcej niż 5000 zł, no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income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(brak dochodu),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answer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refusal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(odmowa odpowiedzi), no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answer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(brak odpowiedzi)</w:t>
            </w:r>
          </w:p>
        </w:tc>
      </w:tr>
    </w:tbl>
    <w:p w14:paraId="26271C89" w14:textId="418C43E9" w:rsidR="00E61ADD" w:rsidRDefault="00E61ADD" w:rsidP="000346ED">
      <w:pPr>
        <w:ind w:firstLine="709"/>
      </w:pPr>
    </w:p>
    <w:p w14:paraId="10678CA2" w14:textId="77777777" w:rsidR="00524EC7" w:rsidRDefault="00524EC7" w:rsidP="000346ED">
      <w:pPr>
        <w:ind w:firstLine="709"/>
      </w:pPr>
    </w:p>
    <w:tbl>
      <w:tblPr>
        <w:tblW w:w="98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97"/>
        <w:gridCol w:w="6450"/>
      </w:tblGrid>
      <w:tr w:rsidR="00524EC7" w:rsidRPr="00A20691" w14:paraId="0EC4572F" w14:textId="77777777" w:rsidTr="0087383B">
        <w:trPr>
          <w:trHeight w:val="717"/>
        </w:trPr>
        <w:tc>
          <w:tcPr>
            <w:tcW w:w="3397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E1793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lastRenderedPageBreak/>
              <w:t>Household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income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(dochód gospodarstwa domowego)</w:t>
            </w:r>
          </w:p>
        </w:tc>
        <w:tc>
          <w:tcPr>
            <w:tcW w:w="6450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3B58A3" w14:textId="77777777" w:rsidR="00524EC7" w:rsidRPr="00A20691" w:rsidRDefault="00524EC7" w:rsidP="0087383B">
            <w:pPr>
              <w:suppressAutoHyphens/>
              <w:autoSpaceDN w:val="0"/>
              <w:spacing w:before="40" w:after="240" w:line="276" w:lineRule="auto"/>
              <w:textAlignment w:val="baseline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Mniej niż 2000 zł, 2001-3000 zł, 3001-5000 zł, więcej niż 5000 zł, no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income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(brak dochodu), hard to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say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(ciężko powiedzieć),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answer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refusal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(odmowa odpowiedzi), no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answer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(brak odpowiedzi)</w:t>
            </w:r>
          </w:p>
        </w:tc>
      </w:tr>
      <w:tr w:rsidR="00524EC7" w:rsidRPr="00A20691" w14:paraId="37CC482A" w14:textId="77777777" w:rsidTr="0087383B">
        <w:trPr>
          <w:trHeight w:val="717"/>
        </w:trPr>
        <w:tc>
          <w:tcPr>
            <w:tcW w:w="3397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1641E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Household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size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(wielkość gospodarstwa domowego)</w:t>
            </w:r>
          </w:p>
        </w:tc>
        <w:tc>
          <w:tcPr>
            <w:tcW w:w="6450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A95A9" w14:textId="77777777" w:rsidR="00524EC7" w:rsidRPr="00A20691" w:rsidRDefault="00524EC7" w:rsidP="0087383B">
            <w:pPr>
              <w:suppressAutoHyphens/>
              <w:autoSpaceDN w:val="0"/>
              <w:spacing w:before="40" w:after="240" w:line="276" w:lineRule="auto"/>
              <w:textAlignment w:val="baseline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one person (jedna osoba),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two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persons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(dwie osoby),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three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persons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(trzy osoby),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four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persons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(cztery osoby), five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persons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(pięć osób),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six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or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more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persons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(sześć osób lub więcej), not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asked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(pytanie nie zostało zadane)</w:t>
            </w:r>
          </w:p>
        </w:tc>
      </w:tr>
      <w:tr w:rsidR="00524EC7" w:rsidRPr="00A20691" w14:paraId="4A984259" w14:textId="77777777" w:rsidTr="0087383B">
        <w:trPr>
          <w:trHeight w:val="717"/>
        </w:trPr>
        <w:tc>
          <w:tcPr>
            <w:tcW w:w="3397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F94FF2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Number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of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children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0-3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y.o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. (liczba dzieci w wieku 0-3 lat)</w:t>
            </w:r>
          </w:p>
        </w:tc>
        <w:tc>
          <w:tcPr>
            <w:tcW w:w="6450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CC4D7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0, 1, 2+, not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asked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(pytanie nie zostało zadane)</w:t>
            </w:r>
          </w:p>
        </w:tc>
      </w:tr>
      <w:tr w:rsidR="00524EC7" w:rsidRPr="00A20691" w14:paraId="21F29F99" w14:textId="77777777" w:rsidTr="0087383B">
        <w:trPr>
          <w:trHeight w:val="717"/>
        </w:trPr>
        <w:tc>
          <w:tcPr>
            <w:tcW w:w="3397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62CCB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Number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of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children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4-7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y.o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. (liczba dzieci w wieku 4-7 lat)</w:t>
            </w:r>
          </w:p>
        </w:tc>
        <w:tc>
          <w:tcPr>
            <w:tcW w:w="6450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14722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0, 1, 2+, not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asked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(pytanie nie zostało zadane)</w:t>
            </w:r>
          </w:p>
        </w:tc>
      </w:tr>
      <w:tr w:rsidR="00524EC7" w:rsidRPr="00A20691" w14:paraId="485C759D" w14:textId="77777777" w:rsidTr="0087383B">
        <w:trPr>
          <w:trHeight w:val="717"/>
        </w:trPr>
        <w:tc>
          <w:tcPr>
            <w:tcW w:w="3397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1658E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Number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of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children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8-14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y.o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. (liczba dzieci w wieku 8-14 lat)</w:t>
            </w:r>
          </w:p>
        </w:tc>
        <w:tc>
          <w:tcPr>
            <w:tcW w:w="6450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1E289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0, 1, 2+, not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asked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(pytanie nie zostało zadane)</w:t>
            </w:r>
          </w:p>
        </w:tc>
      </w:tr>
      <w:tr w:rsidR="00524EC7" w:rsidRPr="00A20691" w14:paraId="2A48756D" w14:textId="77777777" w:rsidTr="0087383B">
        <w:trPr>
          <w:trHeight w:val="717"/>
        </w:trPr>
        <w:tc>
          <w:tcPr>
            <w:tcW w:w="3397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8EBB1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Number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of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children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15-18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y.o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. (liczba dzieci w wieku 15-18 lat)</w:t>
            </w:r>
          </w:p>
        </w:tc>
        <w:tc>
          <w:tcPr>
            <w:tcW w:w="6450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16AF1B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0, 1, 2+, not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asked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(pytanie nie zostało zadane)</w:t>
            </w:r>
          </w:p>
        </w:tc>
      </w:tr>
      <w:tr w:rsidR="00524EC7" w:rsidRPr="00A20691" w14:paraId="72D9CE1F" w14:textId="77777777" w:rsidTr="0087383B">
        <w:trPr>
          <w:trHeight w:val="717"/>
        </w:trPr>
        <w:tc>
          <w:tcPr>
            <w:tcW w:w="3397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CDAF8A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Number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of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children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0-18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y.o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. (liczba dzieci w wieku 0-18 lat)</w:t>
            </w:r>
          </w:p>
        </w:tc>
        <w:tc>
          <w:tcPr>
            <w:tcW w:w="6450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40BE9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0, 1, 2+, not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asked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(pytanie nie zostało zadane)</w:t>
            </w:r>
          </w:p>
        </w:tc>
      </w:tr>
      <w:tr w:rsidR="00524EC7" w:rsidRPr="00A20691" w14:paraId="78AF69D0" w14:textId="77777777" w:rsidTr="0087383B">
        <w:trPr>
          <w:trHeight w:val="717"/>
        </w:trPr>
        <w:tc>
          <w:tcPr>
            <w:tcW w:w="3397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56B5B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Number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of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persons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65-95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y.o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. (liczba osób w wieku 65-95 lat)</w:t>
            </w:r>
          </w:p>
        </w:tc>
        <w:tc>
          <w:tcPr>
            <w:tcW w:w="6450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B451B5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0, 1, 2+, not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asked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(pytanie nie zostało zadane)</w:t>
            </w:r>
          </w:p>
        </w:tc>
      </w:tr>
      <w:tr w:rsidR="00524EC7" w:rsidRPr="00A20691" w14:paraId="76DD553B" w14:textId="77777777" w:rsidTr="0087383B">
        <w:trPr>
          <w:trHeight w:val="717"/>
        </w:trPr>
        <w:tc>
          <w:tcPr>
            <w:tcW w:w="3397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B4154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Everyday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shopping (codzienne zakupy)</w:t>
            </w:r>
          </w:p>
        </w:tc>
        <w:tc>
          <w:tcPr>
            <w:tcW w:w="6450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61B98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I’m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the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only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person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responsible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for shopping (jestem jedyną osobą odpowiedzialną za zakupy w gospodarstwie domowym),</w:t>
            </w:r>
            <w:r w:rsidRPr="00A20691">
              <w:rPr>
                <w:rFonts w:ascii="Arial" w:eastAsia="SimHei" w:hAnsi="Arial" w:cs="Times New Roman"/>
                <w:i/>
                <w:iCs/>
                <w:color w:val="00838A"/>
                <w:kern w:val="0"/>
                <w:sz w:val="20"/>
                <w:szCs w:val="20"/>
                <w:lang w:eastAsia="de-CH"/>
                <w14:ligatures w14:val="none"/>
              </w:rPr>
              <w:br/>
            </w:r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I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share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that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responsibility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with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others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(dzielę odpowiedzialność za zakupy z innymi osobami w gospodarstwie domowym),</w:t>
            </w:r>
            <w:r w:rsidRPr="00A20691">
              <w:rPr>
                <w:rFonts w:ascii="Arial" w:eastAsia="SimHei" w:hAnsi="Arial" w:cs="Times New Roman"/>
                <w:i/>
                <w:iCs/>
                <w:color w:val="00838A"/>
                <w:kern w:val="0"/>
                <w:sz w:val="20"/>
                <w:szCs w:val="20"/>
                <w:lang w:eastAsia="de-CH"/>
                <w14:ligatures w14:val="none"/>
              </w:rPr>
              <w:br/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someone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else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is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responsible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for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that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(inna osoba w gospodarstwie domowym odpowiada za zakupy), not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asked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(pytanie nie zostało zadane)</w:t>
            </w:r>
          </w:p>
        </w:tc>
      </w:tr>
      <w:tr w:rsidR="00524EC7" w:rsidRPr="00A20691" w14:paraId="6FA5A5D7" w14:textId="77777777" w:rsidTr="0087383B">
        <w:trPr>
          <w:trHeight w:val="717"/>
        </w:trPr>
        <w:tc>
          <w:tcPr>
            <w:tcW w:w="3397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BAF6C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Media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used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 xml:space="preserve"> (używane media)</w:t>
            </w:r>
          </w:p>
        </w:tc>
        <w:tc>
          <w:tcPr>
            <w:tcW w:w="6450" w:type="dxa"/>
            <w:tcBorders>
              <w:top w:val="dotted" w:sz="4" w:space="0" w:color="00B0B9"/>
              <w:left w:val="dotted" w:sz="4" w:space="0" w:color="00B0B9"/>
              <w:bottom w:val="dotted" w:sz="4" w:space="0" w:color="00B0B9"/>
              <w:right w:val="dotted" w:sz="4" w:space="0" w:color="00B0B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586CB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</w:pPr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eastAsia="de-CH"/>
                <w14:ligatures w14:val="none"/>
              </w:rPr>
              <w:t>Wybór pozwala np. na zawężenie analizy do użytkowników, którzy korzystali z jednego lub wszystkich wybranych typów mediów w odniesieniu do wybranego okresu i 27 dni wcześniej.</w:t>
            </w:r>
          </w:p>
          <w:p w14:paraId="1BB0FB4E" w14:textId="77777777" w:rsidR="00524EC7" w:rsidRPr="00A20691" w:rsidRDefault="00524EC7" w:rsidP="0087383B">
            <w:pPr>
              <w:keepNext/>
              <w:keepLines/>
              <w:spacing w:before="40" w:after="240" w:line="288" w:lineRule="auto"/>
              <w:outlineLvl w:val="3"/>
              <w:rPr>
                <w:rFonts w:ascii="Roboto" w:eastAsia="SimHei" w:hAnsi="Roboto" w:cs="Times New Roman"/>
                <w:kern w:val="0"/>
                <w:sz w:val="18"/>
                <w:szCs w:val="18"/>
                <w:lang w:val="en-US" w:eastAsia="de-CH"/>
                <w14:ligatures w14:val="none"/>
              </w:rPr>
            </w:pP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val="en-US" w:eastAsia="de-CH"/>
                <w14:ligatures w14:val="none"/>
              </w:rPr>
              <w:t>Typy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val="en-US" w:eastAsia="de-CH"/>
                <w14:ligatures w14:val="none"/>
              </w:rPr>
              <w:t xml:space="preserve"> </w:t>
            </w:r>
            <w:proofErr w:type="spellStart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val="en-US" w:eastAsia="de-CH"/>
                <w14:ligatures w14:val="none"/>
              </w:rPr>
              <w:t>mediów</w:t>
            </w:r>
            <w:proofErr w:type="spellEnd"/>
            <w:r w:rsidRPr="00A20691">
              <w:rPr>
                <w:rFonts w:ascii="Roboto" w:eastAsia="SimHei" w:hAnsi="Roboto" w:cs="Times New Roman"/>
                <w:kern w:val="0"/>
                <w:sz w:val="18"/>
                <w:szCs w:val="18"/>
                <w:lang w:val="en-US" w:eastAsia="de-CH"/>
                <w14:ligatures w14:val="none"/>
              </w:rPr>
              <w:t>: PC, Phones, Tablets, TV in Home, TV out of Home, Radio, Outdoor.</w:t>
            </w:r>
          </w:p>
        </w:tc>
      </w:tr>
    </w:tbl>
    <w:p w14:paraId="3F66827E" w14:textId="77777777" w:rsidR="00524EC7" w:rsidRPr="00524EC7" w:rsidRDefault="00524EC7" w:rsidP="000346ED">
      <w:pPr>
        <w:ind w:firstLine="709"/>
        <w:rPr>
          <w:lang w:val="en-US"/>
        </w:rPr>
      </w:pPr>
    </w:p>
    <w:sectPr w:rsidR="00524EC7" w:rsidRPr="00524EC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02D32" w14:textId="77777777" w:rsidR="000D3726" w:rsidRDefault="000D3726" w:rsidP="00E61ADD">
      <w:pPr>
        <w:spacing w:after="0" w:line="240" w:lineRule="auto"/>
      </w:pPr>
      <w:r>
        <w:separator/>
      </w:r>
    </w:p>
  </w:endnote>
  <w:endnote w:type="continuationSeparator" w:id="0">
    <w:p w14:paraId="4F45DE7F" w14:textId="77777777" w:rsidR="000D3726" w:rsidRDefault="000D3726" w:rsidP="00E6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4A82F" w14:textId="11454937" w:rsidR="00423A89" w:rsidRDefault="00423A89">
    <w:pPr>
      <w:pStyle w:val="Stopka"/>
    </w:pPr>
  </w:p>
  <w:tbl>
    <w:tblPr>
      <w:tblStyle w:val="Tabela-Siatka"/>
      <w:tblW w:w="0" w:type="auto"/>
      <w:tblLook w:val="04A0" w:firstRow="1" w:lastRow="0" w:firstColumn="1" w:lastColumn="0" w:noHBand="0" w:noVBand="1"/>
    </w:tblPr>
    <w:tblGrid>
      <w:gridCol w:w="8606"/>
      <w:gridCol w:w="466"/>
    </w:tblGrid>
    <w:tr w:rsidR="00423A89" w14:paraId="31D22267" w14:textId="77777777" w:rsidTr="004826E4">
      <w:tc>
        <w:tcPr>
          <w:tcW w:w="8931" w:type="dxa"/>
          <w:tcBorders>
            <w:top w:val="single" w:sz="4" w:space="0" w:color="156082" w:themeColor="accent1"/>
          </w:tcBorders>
          <w:tcMar>
            <w:top w:w="57" w:type="dxa"/>
          </w:tcMar>
        </w:tcPr>
        <w:p w14:paraId="4980A09C" w14:textId="77777777" w:rsidR="00423A89" w:rsidRDefault="00524EC7" w:rsidP="00423A89">
          <w:pPr>
            <w:pStyle w:val="Stopkazywa"/>
            <w:rPr>
              <w:lang w:val="pl-PL"/>
            </w:rPr>
          </w:pPr>
          <w:r>
            <w:rPr>
              <w:lang w:val="pl-PL"/>
            </w:rPr>
            <w:t>Demografia</w:t>
          </w:r>
        </w:p>
        <w:p w14:paraId="5AB17952" w14:textId="48BB2AED" w:rsidR="00524EC7" w:rsidRPr="00423A89" w:rsidRDefault="00524EC7" w:rsidP="00423A89">
          <w:pPr>
            <w:pStyle w:val="Stopkazywa"/>
            <w:rPr>
              <w:lang w:val="pl-PL"/>
            </w:rPr>
          </w:pPr>
        </w:p>
      </w:tc>
      <w:tc>
        <w:tcPr>
          <w:tcW w:w="481" w:type="dxa"/>
          <w:tcBorders>
            <w:top w:val="single" w:sz="4" w:space="0" w:color="156082" w:themeColor="accent1"/>
          </w:tcBorders>
          <w:tcMar>
            <w:top w:w="57" w:type="dxa"/>
          </w:tcMar>
        </w:tcPr>
        <w:p w14:paraId="65881D1F" w14:textId="77777777" w:rsidR="00423A89" w:rsidRDefault="00423A89" w:rsidP="00423A89">
          <w:pPr>
            <w:pStyle w:val="Stopka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 w14:paraId="4E3CB3A9" w14:textId="3F71F15D" w:rsidR="00423A89" w:rsidRDefault="00423A89">
    <w:pPr>
      <w:pStyle w:val="Stopka"/>
    </w:pPr>
  </w:p>
  <w:p w14:paraId="7D372C93" w14:textId="77777777" w:rsidR="00423A89" w:rsidRDefault="00423A8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2F3CE" w14:textId="77777777" w:rsidR="000D3726" w:rsidRDefault="000D3726" w:rsidP="00E61ADD">
      <w:pPr>
        <w:spacing w:after="0" w:line="240" w:lineRule="auto"/>
      </w:pPr>
      <w:r>
        <w:separator/>
      </w:r>
    </w:p>
  </w:footnote>
  <w:footnote w:type="continuationSeparator" w:id="0">
    <w:p w14:paraId="20942385" w14:textId="77777777" w:rsidR="000D3726" w:rsidRDefault="000D3726" w:rsidP="00E61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BD38A" w14:textId="52849DCF" w:rsidR="00E61ADD" w:rsidRDefault="00E61ADD">
    <w:pPr>
      <w:pStyle w:val="Nagwek"/>
    </w:pPr>
    <w:r>
      <w:rPr>
        <w:noProof/>
      </w:rPr>
      <w:drawing>
        <wp:anchor distT="0" distB="0" distL="114300" distR="360045" simplePos="0" relativeHeight="251659264" behindDoc="1" locked="1" layoutInCell="1" allowOverlap="1" wp14:anchorId="7BF74AAE" wp14:editId="79BC4CC3">
          <wp:simplePos x="0" y="0"/>
          <wp:positionH relativeFrom="margin">
            <wp:posOffset>-495300</wp:posOffset>
          </wp:positionH>
          <wp:positionV relativeFrom="page">
            <wp:posOffset>245745</wp:posOffset>
          </wp:positionV>
          <wp:extent cx="1861185" cy="579120"/>
          <wp:effectExtent l="0" t="0" r="0" b="0"/>
          <wp:wrapNone/>
          <wp:docPr id="27097762" name="Obraz 1" descr="Obraz zawierający Grafika, tekst, Czcionka, zrzut ekranu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910938" name="Obraz 1" descr="Obraz zawierający Grafika, tekst, Czcionka, zrzut ekranu&#10;&#10;Opis wygenerowany automatyczni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1185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8F68C72" w14:textId="77777777" w:rsidR="00E61ADD" w:rsidRDefault="00E61AD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52440"/>
    <w:multiLevelType w:val="hybridMultilevel"/>
    <w:tmpl w:val="C810A89C"/>
    <w:lvl w:ilvl="0" w:tplc="2A3A660A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  <w:color w:val="00B0B9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73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DD"/>
    <w:rsid w:val="000346ED"/>
    <w:rsid w:val="000D3726"/>
    <w:rsid w:val="00154999"/>
    <w:rsid w:val="00200230"/>
    <w:rsid w:val="002B04A4"/>
    <w:rsid w:val="003A65A9"/>
    <w:rsid w:val="00423A89"/>
    <w:rsid w:val="00452850"/>
    <w:rsid w:val="004D0210"/>
    <w:rsid w:val="00524EC7"/>
    <w:rsid w:val="007F4290"/>
    <w:rsid w:val="00896B6D"/>
    <w:rsid w:val="0092516B"/>
    <w:rsid w:val="00CE377B"/>
    <w:rsid w:val="00E43F62"/>
    <w:rsid w:val="00E6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E4C6AC"/>
  <w15:chartTrackingRefBased/>
  <w15:docId w15:val="{8ED46F7D-FC8C-4724-BF8C-2BE09386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61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61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61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61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61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61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61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61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61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61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61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61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61AD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61AD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61AD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61AD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61AD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61AD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61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61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61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61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61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61AD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61AD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61AD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61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61AD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61ADD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E6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ADD"/>
  </w:style>
  <w:style w:type="paragraph" w:styleId="Stopka">
    <w:name w:val="footer"/>
    <w:basedOn w:val="Normalny"/>
    <w:link w:val="StopkaZnak"/>
    <w:uiPriority w:val="99"/>
    <w:unhideWhenUsed/>
    <w:rsid w:val="00E6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ADD"/>
  </w:style>
  <w:style w:type="paragraph" w:customStyle="1" w:styleId="Gem1Tekst1">
    <w:name w:val="Gem_1_Tekst [1.]"/>
    <w:basedOn w:val="Normalny"/>
    <w:autoRedefine/>
    <w:qFormat/>
    <w:rsid w:val="00E61ADD"/>
    <w:pPr>
      <w:spacing w:after="0" w:line="276" w:lineRule="auto"/>
      <w:jc w:val="both"/>
      <w:textAlignment w:val="baseline"/>
    </w:pPr>
    <w:rPr>
      <w:rFonts w:ascii="Roboto Medium" w:hAnsi="Roboto Medium"/>
      <w:color w:val="00B0B9"/>
      <w:kern w:val="0"/>
      <w:lang w:val="fr-FR" w:eastAsia="de-CH"/>
      <w14:ligatures w14:val="none"/>
    </w:rPr>
  </w:style>
  <w:style w:type="paragraph" w:customStyle="1" w:styleId="Gem2Tekst11">
    <w:name w:val="Gem_2_Tekst [1.1]"/>
    <w:basedOn w:val="Normalny"/>
    <w:autoRedefine/>
    <w:qFormat/>
    <w:rsid w:val="00E61ADD"/>
    <w:pPr>
      <w:spacing w:before="240" w:after="240" w:line="288" w:lineRule="auto"/>
      <w:ind w:left="397"/>
      <w:jc w:val="both"/>
    </w:pPr>
    <w:rPr>
      <w:rFonts w:ascii="Roboto" w:hAnsi="Roboto"/>
      <w:color w:val="000000" w:themeColor="text1"/>
      <w:kern w:val="0"/>
      <w:sz w:val="20"/>
      <w:szCs w:val="20"/>
      <w:lang w:eastAsia="de-CH"/>
      <w14:ligatures w14:val="none"/>
    </w:rPr>
  </w:style>
  <w:style w:type="table" w:styleId="Tabela-Siatka">
    <w:name w:val="Table Grid"/>
    <w:basedOn w:val="Standardowy"/>
    <w:uiPriority w:val="39"/>
    <w:rsid w:val="00423A89"/>
    <w:pPr>
      <w:spacing w:after="0" w:line="240" w:lineRule="atLeast"/>
    </w:pPr>
    <w:rPr>
      <w:color w:val="000000" w:themeColor="text1"/>
      <w:kern w:val="0"/>
      <w:sz w:val="20"/>
      <w:szCs w:val="20"/>
      <w:lang w:val="de-CH" w:eastAsia="de-CH"/>
      <w14:ligatures w14:val="none"/>
    </w:rPr>
    <w:tblPr>
      <w:tblCellMar>
        <w:left w:w="0" w:type="dxa"/>
        <w:right w:w="0" w:type="dxa"/>
      </w:tblCellMar>
    </w:tblPr>
  </w:style>
  <w:style w:type="paragraph" w:customStyle="1" w:styleId="Stopkazywa">
    <w:name w:val="Stopka_zywa"/>
    <w:basedOn w:val="Stopka"/>
    <w:autoRedefine/>
    <w:rsid w:val="00423A89"/>
    <w:pPr>
      <w:tabs>
        <w:tab w:val="clear" w:pos="4536"/>
        <w:tab w:val="clear" w:pos="9072"/>
        <w:tab w:val="right" w:pos="9638"/>
      </w:tabs>
    </w:pPr>
    <w:rPr>
      <w:rFonts w:ascii="Roboto" w:hAnsi="Roboto"/>
      <w:color w:val="000000" w:themeColor="text1"/>
      <w:kern w:val="0"/>
      <w:sz w:val="20"/>
      <w:szCs w:val="20"/>
      <w:lang w:val="en-GB"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AB8F1F04814AB429DC31066E69AC789" ma:contentTypeVersion="14" ma:contentTypeDescription="Utwórz nowy dokument." ma:contentTypeScope="" ma:versionID="829c6a509c73b340fa865486fee7656f">
  <xsd:schema xmlns:xsd="http://www.w3.org/2001/XMLSchema" xmlns:xs="http://www.w3.org/2001/XMLSchema" xmlns:p="http://schemas.microsoft.com/office/2006/metadata/properties" xmlns:ns2="ff80646f-5c96-4782-bfad-da8fed02462b" xmlns:ns3="fe3a944c-820d-4d9b-8471-f816f0eb7440" targetNamespace="http://schemas.microsoft.com/office/2006/metadata/properties" ma:root="true" ma:fieldsID="1951f9c59b1cb9bd948c5befefa90d9d" ns2:_="" ns3:_="">
    <xsd:import namespace="ff80646f-5c96-4782-bfad-da8fed02462b"/>
    <xsd:import namespace="fe3a944c-820d-4d9b-8471-f816f0eb74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0646f-5c96-4782-bfad-da8fed0246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i obrazów" ma:readOnly="false" ma:fieldId="{5cf76f15-5ced-4ddc-b409-7134ff3c332f}" ma:taxonomyMulti="true" ma:sspId="28ef603f-74e7-417f-abb8-62955742a3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a944c-820d-4d9b-8471-f816f0eb744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dba2af1-37f1-430c-8991-bdd7907c8c92}" ma:internalName="TaxCatchAll" ma:showField="CatchAllData" ma:web="fe3a944c-820d-4d9b-8471-f816f0eb74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0646f-5c96-4782-bfad-da8fed02462b">
      <Terms xmlns="http://schemas.microsoft.com/office/infopath/2007/PartnerControls"/>
    </lcf76f155ced4ddcb4097134ff3c332f>
    <TaxCatchAll xmlns="fe3a944c-820d-4d9b-8471-f816f0eb7440" xsi:nil="true"/>
  </documentManagement>
</p:properties>
</file>

<file path=customXml/itemProps1.xml><?xml version="1.0" encoding="utf-8"?>
<ds:datastoreItem xmlns:ds="http://schemas.openxmlformats.org/officeDocument/2006/customXml" ds:itemID="{1DB532CD-74D5-42C0-98C3-91246EDCD0EC}"/>
</file>

<file path=customXml/itemProps2.xml><?xml version="1.0" encoding="utf-8"?>
<ds:datastoreItem xmlns:ds="http://schemas.openxmlformats.org/officeDocument/2006/customXml" ds:itemID="{142B9B7D-92D5-40B5-AA05-99C28009B90B}"/>
</file>

<file path=customXml/itemProps3.xml><?xml version="1.0" encoding="utf-8"?>
<ds:datastoreItem xmlns:ds="http://schemas.openxmlformats.org/officeDocument/2006/customXml" ds:itemID="{119E2322-1429-420A-8EF3-57FAA28835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584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Różycka</dc:creator>
  <cp:keywords/>
  <dc:description/>
  <cp:lastModifiedBy>Aleksandra Różycka</cp:lastModifiedBy>
  <cp:revision>2</cp:revision>
  <dcterms:created xsi:type="dcterms:W3CDTF">2024-12-11T09:49:00Z</dcterms:created>
  <dcterms:modified xsi:type="dcterms:W3CDTF">2024-12-11T09:49:00Z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0x0101006AB8F1F04814AB429DC31066E69AC789</vt:lpwstr>
  </property>
</Properties>
</file>