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B05" w14:textId="60102B4B" w:rsidR="00873EBB" w:rsidRPr="00873EBB" w:rsidRDefault="00873EBB" w:rsidP="00873EBB">
      <w:pPr>
        <w:pStyle w:val="Heading1"/>
        <w:rPr>
          <w:lang w:val="en-US"/>
        </w:rPr>
      </w:pPr>
      <w:r>
        <w:rPr>
          <w:lang w:val="en-US"/>
        </w:rPr>
        <w:t>D</w:t>
      </w:r>
      <w:r w:rsidR="00CF582B">
        <w:rPr>
          <w:lang w:val="en-US"/>
        </w:rPr>
        <w:t>emo Report on</w:t>
      </w:r>
      <w:r w:rsidRPr="00873EBB">
        <w:rPr>
          <w:lang w:val="en-US"/>
        </w:rPr>
        <w:t xml:space="preserve"> Key-Drivers to Marketing Engagement</w:t>
      </w:r>
    </w:p>
    <w:p w14:paraId="2C770C13" w14:textId="3230C9CA" w:rsidR="00C44823" w:rsidRDefault="00C44823" w:rsidP="00443EBF">
      <w:pPr>
        <w:pStyle w:val="Heading2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ata Source</w:t>
      </w:r>
      <w:r w:rsidR="00873EBB">
        <w:rPr>
          <w:lang w:val="en-US"/>
        </w:rPr>
        <w:t>:</w:t>
      </w:r>
    </w:p>
    <w:p w14:paraId="67F41C24" w14:textId="2876E37B" w:rsidR="00873EBB" w:rsidRP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</w:t>
      </w:r>
      <w:r w:rsidRPr="00873EBB">
        <w:rPr>
          <w:lang w:val="en-US" w:eastAsia="de-DE"/>
        </w:rPr>
        <w:t>h</w:t>
      </w:r>
      <w:r>
        <w:rPr>
          <w:lang w:val="en-US" w:eastAsia="de-DE"/>
        </w:rPr>
        <w:t>is demo project is based on the publicly available dataset from the UCI machine learning repository</w:t>
      </w:r>
      <w:r w:rsidRPr="00873EBB">
        <w:rPr>
          <w:lang w:val="en-US" w:eastAsia="de-DE"/>
        </w:rPr>
        <w:t>:</w:t>
      </w:r>
      <w:r>
        <w:rPr>
          <w:lang w:val="en-US" w:eastAsia="de-DE"/>
        </w:rPr>
        <w:t xml:space="preserve"> </w:t>
      </w:r>
      <w:r w:rsidRPr="00873EBB">
        <w:rPr>
          <w:lang w:val="en-US" w:eastAsia="de-DE"/>
        </w:rPr>
        <w:t>https://archive.ics.uci.edu/ml/datasets/bank+marketing</w:t>
      </w:r>
    </w:p>
    <w:p w14:paraId="1AE87D0D" w14:textId="14BA16F7" w:rsidR="00873EBB" w:rsidRPr="00873EBB" w:rsidRDefault="00873EBB" w:rsidP="00873EBB">
      <w:pPr>
        <w:pStyle w:val="Heading2"/>
        <w:rPr>
          <w:rFonts w:eastAsia="Times New Roman"/>
          <w:lang w:val="en-US" w:eastAsia="de-DE"/>
        </w:rPr>
      </w:pPr>
      <w:r>
        <w:rPr>
          <w:lang w:val="en-US" w:eastAsia="de-DE"/>
        </w:rPr>
        <w:t>Project Goal:</w:t>
      </w:r>
    </w:p>
    <w:p w14:paraId="70796E32" w14:textId="3F4DE831" w:rsid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The goal</w:t>
      </w:r>
      <w:r w:rsidR="0053435D">
        <w:rPr>
          <w:lang w:val="en-US" w:eastAsia="de-DE"/>
        </w:rPr>
        <w:t xml:space="preserve"> is to find the key drivers to marketing engagement by analyzing the data of historical marketing campaigns. </w:t>
      </w:r>
    </w:p>
    <w:p w14:paraId="2AD1700D" w14:textId="034FECBC" w:rsidR="0053435D" w:rsidRDefault="0053435D" w:rsidP="0053435D">
      <w:pPr>
        <w:pStyle w:val="Heading2"/>
        <w:rPr>
          <w:lang w:val="en-US" w:eastAsia="de-DE"/>
        </w:rPr>
      </w:pPr>
      <w:r>
        <w:rPr>
          <w:lang w:val="en-US" w:eastAsia="de-DE"/>
        </w:rPr>
        <w:t>Solution Approach:</w:t>
      </w:r>
    </w:p>
    <w:p w14:paraId="68E683A8" w14:textId="007E41F7" w:rsidR="00C44823" w:rsidRDefault="0053435D" w:rsidP="00C44823">
      <w:pPr>
        <w:rPr>
          <w:lang w:val="en-US"/>
        </w:rPr>
      </w:pPr>
      <w:r>
        <w:rPr>
          <w:lang w:val="en-US"/>
        </w:rPr>
        <w:t>Our solution consists of two steps: 1.) exploratory data analysis to find trends and correlations relevant for engagement 2.) a</w:t>
      </w:r>
      <w:r>
        <w:rPr>
          <w:lang w:val="en-US"/>
        </w:rPr>
        <w:t>ppl</w:t>
      </w:r>
      <w:r>
        <w:rPr>
          <w:lang w:val="en-US"/>
        </w:rPr>
        <w:t>y</w:t>
      </w:r>
      <w:r>
        <w:rPr>
          <w:lang w:val="en-US"/>
        </w:rPr>
        <w:t xml:space="preserve"> a state-of-the-art explainable artificial intelligence </w:t>
      </w:r>
      <w:r>
        <w:rPr>
          <w:lang w:val="en-US"/>
        </w:rPr>
        <w:t>methods</w:t>
      </w:r>
      <w:r>
        <w:rPr>
          <w:lang w:val="en-US"/>
        </w:rPr>
        <w:t xml:space="preserve"> to gain </w:t>
      </w:r>
      <w:r>
        <w:rPr>
          <w:lang w:val="en-US"/>
        </w:rPr>
        <w:t>deep</w:t>
      </w:r>
      <w:r>
        <w:rPr>
          <w:lang w:val="en-US"/>
        </w:rPr>
        <w:t xml:space="preserve"> insight to what drives marketing success</w:t>
      </w:r>
      <w:r>
        <w:rPr>
          <w:lang w:val="en-US"/>
        </w:rPr>
        <w:t xml:space="preserve"> (see the code here: </w:t>
      </w:r>
      <w:r w:rsidR="0037193A" w:rsidRPr="0037193A">
        <w:rPr>
          <w:lang w:val="en-US"/>
        </w:rPr>
        <w:t>https://github.com/Sebastian1981/Marketing-Sales-Conversion-Prediction-Webapp</w:t>
      </w:r>
      <w:r>
        <w:rPr>
          <w:lang w:val="en-US"/>
        </w:rPr>
        <w:t>)</w:t>
      </w:r>
    </w:p>
    <w:p w14:paraId="640FDF55" w14:textId="5FF3996C" w:rsidR="0053435D" w:rsidRDefault="0053435D" w:rsidP="0053435D">
      <w:pPr>
        <w:pStyle w:val="Heading2"/>
        <w:rPr>
          <w:lang w:val="en-US"/>
        </w:rPr>
      </w:pPr>
      <w:r>
        <w:rPr>
          <w:lang w:val="en-US"/>
        </w:rPr>
        <w:t>Tools:</w:t>
      </w:r>
    </w:p>
    <w:p w14:paraId="1F51B681" w14:textId="3EE5FDB9" w:rsidR="0053435D" w:rsidRPr="00C44823" w:rsidRDefault="0053435D" w:rsidP="00C44823">
      <w:pPr>
        <w:rPr>
          <w:lang w:val="en-US"/>
        </w:rPr>
      </w:pPr>
      <w:r>
        <w:rPr>
          <w:lang w:val="en-US"/>
        </w:rPr>
        <w:t>Python, Jupyter,</w:t>
      </w:r>
      <w:r w:rsidR="00CF582B">
        <w:rPr>
          <w:lang w:val="en-US"/>
        </w:rPr>
        <w:t xml:space="preserve"> pandas, numpy,</w:t>
      </w:r>
      <w:r>
        <w:rPr>
          <w:lang w:val="en-US"/>
        </w:rPr>
        <w:t xml:space="preserve"> sklearn, shap</w:t>
      </w:r>
    </w:p>
    <w:p w14:paraId="36F5678E" w14:textId="49BAF875" w:rsidR="00915DA0" w:rsidRPr="00915DA0" w:rsidRDefault="0053435D" w:rsidP="00443EBF">
      <w:pPr>
        <w:pStyle w:val="Heading2"/>
        <w:rPr>
          <w:lang w:val="en-US"/>
        </w:rPr>
      </w:pPr>
      <w:r>
        <w:rPr>
          <w:lang w:val="en-US"/>
        </w:rPr>
        <w:t>Key Findings</w:t>
      </w:r>
      <w:r w:rsidR="00873EBB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0"/>
        <w:gridCol w:w="4972"/>
      </w:tblGrid>
      <w:tr w:rsidR="00161B5E" w14:paraId="117BC230" w14:textId="77777777" w:rsidTr="00161B5E">
        <w:tc>
          <w:tcPr>
            <w:tcW w:w="3539" w:type="dxa"/>
          </w:tcPr>
          <w:p w14:paraId="2BDD1155" w14:textId="724D3775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55891B" wp14:editId="155C6584">
                  <wp:extent cx="2460014" cy="192380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495" cy="194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AEEAD50" w14:textId="76C975E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BD1947" wp14:editId="2AE1C4B4">
                  <wp:extent cx="2566623" cy="1923415"/>
                  <wp:effectExtent l="0" t="0" r="571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50" t="51404"/>
                          <a:stretch/>
                        </pic:blipFill>
                        <pic:spPr bwMode="auto">
                          <a:xfrm>
                            <a:off x="0" y="0"/>
                            <a:ext cx="2598540" cy="194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C44823" w14:paraId="43259496" w14:textId="77777777" w:rsidTr="00161B5E">
        <w:tc>
          <w:tcPr>
            <w:tcW w:w="3539" w:type="dxa"/>
          </w:tcPr>
          <w:p w14:paraId="53D56309" w14:textId="3ECB8B3D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1. Engagement Rate.</w:t>
            </w:r>
          </w:p>
        </w:tc>
        <w:tc>
          <w:tcPr>
            <w:tcW w:w="5523" w:type="dxa"/>
          </w:tcPr>
          <w:p w14:paraId="3C452191" w14:textId="071F9681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2. Stacked Age Distribution for Non-Converters (blue) and Converters (orange).</w:t>
            </w:r>
          </w:p>
        </w:tc>
      </w:tr>
    </w:tbl>
    <w:p w14:paraId="7ED489F4" w14:textId="50F7184F" w:rsidR="00161B5E" w:rsidRDefault="00161B5E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1 shows that the engagement rate among all customers is 12%. Figure 2 shows a clear effect of age on engagement rate. </w:t>
      </w:r>
      <w:r w:rsidR="003908F2">
        <w:rPr>
          <w:lang w:val="en-US"/>
        </w:rPr>
        <w:t>The age</w:t>
      </w:r>
      <w:r>
        <w:rPr>
          <w:lang w:val="en-US"/>
        </w:rPr>
        <w:t xml:space="preserve"> group</w:t>
      </w:r>
      <w:r w:rsidR="003908F2">
        <w:rPr>
          <w:lang w:val="en-US"/>
        </w:rPr>
        <w:t>s</w:t>
      </w:r>
      <w:r>
        <w:rPr>
          <w:lang w:val="en-US"/>
        </w:rPr>
        <w:t xml:space="preserve"> around 20 years and between 60-70 years </w:t>
      </w:r>
      <w:r w:rsidR="003908F2">
        <w:rPr>
          <w:lang w:val="en-US"/>
        </w:rPr>
        <w:t>are</w:t>
      </w:r>
      <w:r>
        <w:rPr>
          <w:lang w:val="en-US"/>
        </w:rPr>
        <w:t xml:space="preserve"> more likely to engage than the mid-agers.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1B5E" w14:paraId="3E1C8DA7" w14:textId="77777777" w:rsidTr="006804B1">
        <w:tc>
          <w:tcPr>
            <w:tcW w:w="9062" w:type="dxa"/>
          </w:tcPr>
          <w:p w14:paraId="37E09763" w14:textId="5F25BDD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F37F96" wp14:editId="3F3155F5">
                  <wp:extent cx="5759450" cy="19513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43"/>
                          <a:stretch/>
                        </pic:blipFill>
                        <pic:spPr bwMode="auto">
                          <a:xfrm>
                            <a:off x="0" y="0"/>
                            <a:ext cx="5762865" cy="195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C44823" w14:paraId="20DD5677" w14:textId="77777777" w:rsidTr="006804B1">
        <w:tc>
          <w:tcPr>
            <w:tcW w:w="9062" w:type="dxa"/>
          </w:tcPr>
          <w:p w14:paraId="68730D97" w14:textId="32A459DB" w:rsidR="00161B5E" w:rsidRPr="00FB08B6" w:rsidRDefault="00161B5E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3. Pie-Plots of the monthly-distributions for the Non-Converters (left) and the Converters (right).</w:t>
            </w:r>
          </w:p>
        </w:tc>
      </w:tr>
    </w:tbl>
    <w:p w14:paraId="25D4109A" w14:textId="6C9453A3" w:rsidR="0023096A" w:rsidRDefault="00161B5E" w:rsidP="0053435D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3 shows a clear seasonal effect on engagement rate. </w:t>
      </w:r>
      <w:r w:rsidR="008961A2">
        <w:rPr>
          <w:lang w:val="en-US"/>
        </w:rPr>
        <w:t>E.g.,</w:t>
      </w:r>
      <w:r w:rsidR="00915DA0">
        <w:rPr>
          <w:lang w:val="en-US"/>
        </w:rPr>
        <w:t xml:space="preserve"> in the non-converters group, the largest proportion of customers is found in the month of </w:t>
      </w:r>
      <w:r w:rsidR="008961A2">
        <w:rPr>
          <w:lang w:val="en-US"/>
        </w:rPr>
        <w:t>May</w:t>
      </w:r>
      <w:r w:rsidR="00CB287C">
        <w:rPr>
          <w:lang w:val="en-US"/>
        </w:rPr>
        <w:t xml:space="preserve"> whereas in the c</w:t>
      </w:r>
      <w:r w:rsidR="00915DA0">
        <w:rPr>
          <w:lang w:val="en-US"/>
        </w:rPr>
        <w:t xml:space="preserve">onverters group the proportion of </w:t>
      </w:r>
      <w:r w:rsidR="00915DA0">
        <w:rPr>
          <w:lang w:val="en-US"/>
        </w:rPr>
        <w:lastRenderedPageBreak/>
        <w:t xml:space="preserve">customers </w:t>
      </w:r>
      <w:r w:rsidR="00CB287C">
        <w:rPr>
          <w:lang w:val="en-US"/>
        </w:rPr>
        <w:t>in M</w:t>
      </w:r>
      <w:r w:rsidR="00915DA0">
        <w:rPr>
          <w:lang w:val="en-US"/>
        </w:rPr>
        <w:t>ay is clearly smaller. T</w:t>
      </w:r>
      <w:r w:rsidR="00915DA0" w:rsidRPr="00915DA0">
        <w:rPr>
          <w:lang w:val="en-US"/>
        </w:rPr>
        <w:t xml:space="preserve">herefore, the month of May seems to have an unfavorable effect on the success of </w:t>
      </w:r>
      <w:r w:rsidR="000F017F">
        <w:rPr>
          <w:lang w:val="en-US"/>
        </w:rPr>
        <w:t xml:space="preserve">a </w:t>
      </w:r>
      <w:r w:rsidR="00915DA0" w:rsidRPr="00915DA0">
        <w:rPr>
          <w:lang w:val="en-US"/>
        </w:rPr>
        <w:t>marketing campaign.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1C5A" w14:paraId="23CD6FF0" w14:textId="77777777" w:rsidTr="006804B1">
        <w:tc>
          <w:tcPr>
            <w:tcW w:w="9062" w:type="dxa"/>
          </w:tcPr>
          <w:p w14:paraId="6B07C2EA" w14:textId="4141808A" w:rsidR="00DC1C5A" w:rsidRDefault="00DC1C5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B86CB" wp14:editId="1A452FA0">
                  <wp:extent cx="3598223" cy="18498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39" b="37423"/>
                          <a:stretch/>
                        </pic:blipFill>
                        <pic:spPr bwMode="auto">
                          <a:xfrm>
                            <a:off x="0" y="0"/>
                            <a:ext cx="3656962" cy="188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5A" w:rsidRPr="00C44823" w14:paraId="512C07F1" w14:textId="77777777" w:rsidTr="006804B1">
        <w:tc>
          <w:tcPr>
            <w:tcW w:w="9062" w:type="dxa"/>
          </w:tcPr>
          <w:p w14:paraId="1B4C1771" w14:textId="5D32CC0B" w:rsidR="00DC1C5A" w:rsidRPr="00FB08B6" w:rsidRDefault="00DC1C5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4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Prescriptive Analytics</w:t>
            </w:r>
            <w:r w:rsidRPr="00FB08B6">
              <w:rPr>
                <w:b/>
                <w:bCs/>
                <w:lang w:val="en-US"/>
              </w:rPr>
              <w:t xml:space="preserve"> using a </w:t>
            </w:r>
            <w:r w:rsidR="00FB08B6" w:rsidRPr="00FB08B6">
              <w:rPr>
                <w:b/>
                <w:bCs/>
                <w:lang w:val="en-US"/>
              </w:rPr>
              <w:t>S</w:t>
            </w:r>
            <w:r w:rsidR="005F6FE8" w:rsidRPr="00FB08B6">
              <w:rPr>
                <w:b/>
                <w:bCs/>
                <w:lang w:val="en-US"/>
              </w:rPr>
              <w:t>imple Decision</w:t>
            </w:r>
            <w:r w:rsidRPr="00FB08B6">
              <w:rPr>
                <w:b/>
                <w:bCs/>
                <w:lang w:val="en-US"/>
              </w:rPr>
              <w:t xml:space="preserve"> Tree.</w:t>
            </w:r>
          </w:p>
        </w:tc>
      </w:tr>
    </w:tbl>
    <w:p w14:paraId="0E52B0E8" w14:textId="6D2BD0DD" w:rsidR="00A91D02" w:rsidRDefault="004A72AA" w:rsidP="00C45347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The simple decision tree analysis in Fig.4 shows t</w:t>
      </w:r>
      <w:r w:rsidRPr="005F6FE8">
        <w:rPr>
          <w:lang w:val="en-US"/>
        </w:rPr>
        <w:t>hat f</w:t>
      </w:r>
      <w:r>
        <w:rPr>
          <w:lang w:val="en-US"/>
        </w:rPr>
        <w:t>eatures</w:t>
      </w:r>
      <w:r w:rsidRPr="005F6FE8">
        <w:rPr>
          <w:lang w:val="en-US"/>
        </w:rPr>
        <w:t xml:space="preserve"> "p_outcome", "contact" and "age" </w:t>
      </w:r>
      <w:r>
        <w:rPr>
          <w:lang w:val="en-US"/>
        </w:rPr>
        <w:t>are among the key engagement drivers</w:t>
      </w:r>
      <w:r w:rsidRPr="005F6FE8">
        <w:rPr>
          <w:lang w:val="en-US"/>
        </w:rPr>
        <w:t xml:space="preserve">. </w:t>
      </w:r>
      <w:r>
        <w:rPr>
          <w:lang w:val="en-US"/>
        </w:rPr>
        <w:t>T</w:t>
      </w:r>
      <w:r w:rsidRPr="005F6FE8">
        <w:rPr>
          <w:lang w:val="en-US"/>
        </w:rPr>
        <w:t>he "p_outcome" variable represents whether the last marketing campaign was successful with a particular customer</w:t>
      </w:r>
      <w:r>
        <w:rPr>
          <w:lang w:val="en-US"/>
        </w:rPr>
        <w:t xml:space="preserve"> or not</w:t>
      </w:r>
      <w:r w:rsidRPr="005F6FE8">
        <w:rPr>
          <w:lang w:val="en-US"/>
        </w:rPr>
        <w:t>. The "contact" and "age" variables represent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the </w:t>
      </w:r>
      <w:r>
        <w:rPr>
          <w:lang w:val="en-US"/>
        </w:rPr>
        <w:t xml:space="preserve">type of </w:t>
      </w:r>
      <w:r w:rsidRPr="005F6FE8">
        <w:rPr>
          <w:lang w:val="en-US"/>
        </w:rPr>
        <w:t>contact and the</w:t>
      </w:r>
      <w:r>
        <w:rPr>
          <w:lang w:val="en-US"/>
        </w:rPr>
        <w:t xml:space="preserve"> customer´s</w:t>
      </w:r>
      <w:r w:rsidRPr="005F6FE8">
        <w:rPr>
          <w:lang w:val="en-US"/>
        </w:rPr>
        <w:t xml:space="preserve"> age</w:t>
      </w:r>
      <w:r>
        <w:rPr>
          <w:lang w:val="en-US"/>
        </w:rPr>
        <w:t>, respectively</w:t>
      </w:r>
      <w:r w:rsidRPr="005F6FE8">
        <w:rPr>
          <w:lang w:val="en-US"/>
        </w:rPr>
        <w:t>.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If we take a closer look at the decision tree, we can see, for example, that the conversion rate is </w:t>
      </w:r>
      <w:r>
        <w:rPr>
          <w:lang w:val="en-US"/>
        </w:rPr>
        <w:t>91</w:t>
      </w:r>
      <w:r w:rsidRPr="005F6FE8">
        <w:rPr>
          <w:lang w:val="en-US"/>
        </w:rPr>
        <w:t>% if the last marketing campaign was successful</w:t>
      </w:r>
      <w:r>
        <w:rPr>
          <w:lang w:val="en-US"/>
        </w:rPr>
        <w:t xml:space="preserve"> (“</w:t>
      </w:r>
      <w:r w:rsidRPr="005F6FE8">
        <w:rPr>
          <w:lang w:val="en-US"/>
        </w:rPr>
        <w:t>p_outcome</w:t>
      </w:r>
      <w:r>
        <w:rPr>
          <w:lang w:val="en-US"/>
        </w:rPr>
        <w:t>_successfull”) a</w:t>
      </w:r>
      <w:r w:rsidRPr="005F6FE8">
        <w:rPr>
          <w:lang w:val="en-US"/>
        </w:rPr>
        <w:t xml:space="preserve">nd the customer is </w:t>
      </w:r>
      <w:r>
        <w:rPr>
          <w:lang w:val="en-US"/>
        </w:rPr>
        <w:t xml:space="preserve">in the </w:t>
      </w:r>
      <w:r w:rsidRPr="005F6FE8">
        <w:rPr>
          <w:lang w:val="en-US"/>
        </w:rPr>
        <w:t xml:space="preserve">younger </w:t>
      </w:r>
      <w:r>
        <w:rPr>
          <w:lang w:val="en-US"/>
        </w:rPr>
        <w:t>age group (“age&lt;17.5”)</w:t>
      </w:r>
      <w:r w:rsidRPr="005F6FE8">
        <w:rPr>
          <w:lang w:val="en-US"/>
        </w:rPr>
        <w:t>. In comparison, the global conversion rate is only 1</w:t>
      </w:r>
      <w:r>
        <w:rPr>
          <w:lang w:val="en-US"/>
        </w:rPr>
        <w:t>2</w:t>
      </w:r>
      <w:r w:rsidRPr="005F6FE8">
        <w:rPr>
          <w:lang w:val="en-US"/>
        </w:rPr>
        <w:t>%.</w:t>
      </w:r>
      <w:r>
        <w:rPr>
          <w:lang w:val="en-US"/>
        </w:rPr>
        <w:t xml:space="preserve"> Hence, focusing on this young-age group would already lift the conversion rate by a factor of more than 7.</w:t>
      </w:r>
      <w:r w:rsidRPr="005F6FE8">
        <w:rPr>
          <w:lang w:val="en-US"/>
        </w:rPr>
        <w:t xml:space="preserve"> Th</w:t>
      </w:r>
      <w:r>
        <w:rPr>
          <w:lang w:val="en-US"/>
        </w:rPr>
        <w:t>e decision tree a</w:t>
      </w:r>
      <w:r w:rsidRPr="005F6FE8">
        <w:rPr>
          <w:lang w:val="en-US"/>
        </w:rPr>
        <w:t xml:space="preserve">nalysis </w:t>
      </w:r>
      <w:r>
        <w:rPr>
          <w:lang w:val="en-US"/>
        </w:rPr>
        <w:t>remarkably</w:t>
      </w:r>
      <w:r w:rsidRPr="005F6FE8">
        <w:rPr>
          <w:lang w:val="en-US"/>
        </w:rPr>
        <w:t xml:space="preserve"> shows the value this </w:t>
      </w:r>
      <w:r>
        <w:rPr>
          <w:lang w:val="en-US"/>
        </w:rPr>
        <w:t xml:space="preserve">data-based </w:t>
      </w:r>
      <w:r w:rsidRPr="005F6FE8">
        <w:rPr>
          <w:lang w:val="en-US"/>
        </w:rPr>
        <w:t xml:space="preserve">analysis </w:t>
      </w:r>
      <w:r>
        <w:rPr>
          <w:lang w:val="en-US"/>
        </w:rPr>
        <w:t xml:space="preserve">can add </w:t>
      </w:r>
      <w:r w:rsidRPr="005F6FE8">
        <w:rPr>
          <w:lang w:val="en-US"/>
        </w:rPr>
        <w:t>for optimizing marketing campaign</w:t>
      </w:r>
      <w:r>
        <w:rPr>
          <w:lang w:val="en-US"/>
        </w:rPr>
        <w:t>s</w:t>
      </w:r>
      <w:r w:rsidRPr="005F6FE8">
        <w:rPr>
          <w:lang w:val="en-US"/>
        </w:rPr>
        <w:t>. However, we would like a more comprehensive insight into the key drivers</w:t>
      </w:r>
      <w:r>
        <w:rPr>
          <w:lang w:val="en-US"/>
        </w:rPr>
        <w:t xml:space="preserve"> and their effect on engagement rates</w:t>
      </w:r>
      <w:r w:rsidRPr="005F6FE8">
        <w:rPr>
          <w:lang w:val="en-US"/>
        </w:rPr>
        <w:t>.</w:t>
      </w:r>
      <w:r>
        <w:rPr>
          <w:lang w:val="en-US"/>
        </w:rPr>
        <w:t xml:space="preserve"> Therefore, we applied a state-of-the-art explainable artificial intelligence approach to gain complete insight to what drives marketing success.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73AA" w14:paraId="3F87FE61" w14:textId="77777777" w:rsidTr="006804B1">
        <w:tc>
          <w:tcPr>
            <w:tcW w:w="9062" w:type="dxa"/>
          </w:tcPr>
          <w:p w14:paraId="39BDC053" w14:textId="0C5EB438" w:rsidR="004373AA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817544" wp14:editId="1997A8D0">
                  <wp:extent cx="4445876" cy="307033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389" cy="308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C44823" w14:paraId="4CE4CE40" w14:textId="77777777" w:rsidTr="006804B1">
        <w:tc>
          <w:tcPr>
            <w:tcW w:w="9062" w:type="dxa"/>
          </w:tcPr>
          <w:p w14:paraId="5F369AFD" w14:textId="7A08188C" w:rsidR="004373AA" w:rsidRDefault="004373AA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5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Key marketing engagement drivers detected by applying high performance complex machine learning models in combination with state-of-the-art explainable artificial intelligence methods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0D93758" w14:textId="77777777" w:rsidR="00904363" w:rsidRDefault="00FB08B6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Figure </w:t>
      </w:r>
      <w:r w:rsidR="00904363">
        <w:rPr>
          <w:lang w:val="en-US"/>
        </w:rPr>
        <w:t>5</w:t>
      </w:r>
      <w:r>
        <w:rPr>
          <w:lang w:val="en-US"/>
        </w:rPr>
        <w:t xml:space="preserve"> shows that the top-5 key drivers to marketing engagement are the</w:t>
      </w:r>
      <w:r w:rsidR="00426DA3">
        <w:rPr>
          <w:lang w:val="en-US"/>
        </w:rPr>
        <w:t xml:space="preserve"> features</w:t>
      </w:r>
      <w:r>
        <w:rPr>
          <w:lang w:val="en-US"/>
        </w:rPr>
        <w:t xml:space="preserve"> “contact_telephone”, “month_may”, “default_unkknown”</w:t>
      </w:r>
      <w:r w:rsidR="00426DA3">
        <w:rPr>
          <w:lang w:val="en-US"/>
        </w:rPr>
        <w:t>,</w:t>
      </w:r>
      <w:r>
        <w:rPr>
          <w:lang w:val="en-US"/>
        </w:rPr>
        <w:t xml:space="preserve"> “age”</w:t>
      </w:r>
      <w:r w:rsidR="00426DA3">
        <w:rPr>
          <w:lang w:val="en-US"/>
        </w:rPr>
        <w:t xml:space="preserve"> and “poutcome_success”</w:t>
      </w:r>
      <w:r>
        <w:rPr>
          <w:lang w:val="en-US"/>
        </w:rPr>
        <w:t>. The x-axis shows the likelihood of conversion affected by each feature. E.g. the features “contact_telephone” and “age” affect the likelihood of conversion on average by approx. 28% and 11%, respectively.</w:t>
      </w:r>
      <w:r w:rsidR="00904363">
        <w:rPr>
          <w:lang w:val="en-US"/>
        </w:rPr>
        <w:t xml:space="preserve"> </w:t>
      </w:r>
    </w:p>
    <w:p w14:paraId="7CC2E213" w14:textId="3EA87D3C" w:rsidR="00E96D5D" w:rsidRDefault="00904363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 6 yields a deep insight into the key drivers to engagement and their explicit affects on the likelihood on the conversion rate. Thereby each datapoint represents one customer. </w:t>
      </w:r>
      <w:r w:rsidRPr="00D4187B">
        <w:rPr>
          <w:lang w:val="en-US"/>
        </w:rPr>
        <w:t xml:space="preserve">The impressive feature of this </w:t>
      </w:r>
      <w:r>
        <w:rPr>
          <w:lang w:val="en-US"/>
        </w:rPr>
        <w:t>state-of-</w:t>
      </w:r>
      <w:r>
        <w:rPr>
          <w:lang w:val="en-US"/>
        </w:rPr>
        <w:lastRenderedPageBreak/>
        <w:t xml:space="preserve">the-art explainable artificial intelligence approach </w:t>
      </w:r>
      <w:r w:rsidRPr="00D4187B">
        <w:rPr>
          <w:lang w:val="en-US"/>
        </w:rPr>
        <w:t>is that the engagement probabilities can simply be linearly added up.</w:t>
      </w:r>
      <w:r>
        <w:rPr>
          <w:lang w:val="en-US"/>
        </w:rPr>
        <w:t xml:space="preserve"> E.g. contacting the customers not via telephone leads to a conversion probability of around 18% on average (center of blue distribution). The conversion probability is further increased by around 15% if the customer are not contacted in the month of May. Focusing on the customers with a known credit-default history increases the probability of engagement by further 10% approx. Hence, targeting this group, we end up with a net engagement probability of approx. 43%, which is significantly higher than the global conversion rate of 12%. Note that based on that powerful state-of-the-art explainable artificial intelligence approach, you can simply estimate the effective engagement probability for any target group! Figure 7 explicitly shows how the customers age relates to engagement probability.</w:t>
      </w:r>
      <w:r w:rsidR="00FB08B6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6D5D" w14:paraId="3D002EE7" w14:textId="77777777" w:rsidTr="00E96D5D">
        <w:tc>
          <w:tcPr>
            <w:tcW w:w="9062" w:type="dxa"/>
          </w:tcPr>
          <w:p w14:paraId="5B67ED1C" w14:textId="77777777" w:rsidR="00E96D5D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EAA76C" wp14:editId="4F84EE99">
                  <wp:extent cx="4865876" cy="3626069"/>
                  <wp:effectExtent l="0" t="0" r="0" b="0"/>
                  <wp:docPr id="20" name="Picture 2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584" cy="366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D5D" w:rsidRPr="00C44823" w14:paraId="5ED06CCC" w14:textId="77777777" w:rsidTr="00E96D5D">
        <w:tc>
          <w:tcPr>
            <w:tcW w:w="9062" w:type="dxa"/>
          </w:tcPr>
          <w:p w14:paraId="4B1424B1" w14:textId="7959C476" w:rsidR="00E96D5D" w:rsidRDefault="00E96D5D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6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BC7378">
              <w:rPr>
                <w:b/>
                <w:bCs/>
                <w:lang w:val="en-US"/>
              </w:rPr>
              <w:t>K</w:t>
            </w:r>
            <w:r w:rsidRPr="00FB08B6">
              <w:rPr>
                <w:b/>
                <w:bCs/>
                <w:lang w:val="en-US"/>
              </w:rPr>
              <w:t>ey</w:t>
            </w:r>
            <w:r>
              <w:rPr>
                <w:b/>
                <w:bCs/>
                <w:lang w:val="en-US"/>
              </w:rPr>
              <w:t xml:space="preserve"> </w:t>
            </w:r>
            <w:r w:rsidRPr="00FB08B6">
              <w:rPr>
                <w:b/>
                <w:bCs/>
                <w:lang w:val="en-US"/>
              </w:rPr>
              <w:t xml:space="preserve">drivers </w:t>
            </w:r>
            <w:r>
              <w:rPr>
                <w:b/>
                <w:bCs/>
                <w:lang w:val="en-US"/>
              </w:rPr>
              <w:t xml:space="preserve">and their </w:t>
            </w:r>
            <w:r w:rsidR="00BC7378">
              <w:rPr>
                <w:b/>
                <w:bCs/>
                <w:lang w:val="en-US"/>
              </w:rPr>
              <w:t xml:space="preserve">explicit </w:t>
            </w:r>
            <w:r>
              <w:rPr>
                <w:b/>
                <w:bCs/>
                <w:lang w:val="en-US"/>
              </w:rPr>
              <w:t>effect on the likelihood on engagement</w:t>
            </w:r>
            <w:r w:rsidR="00BC7378">
              <w:rPr>
                <w:b/>
                <w:bCs/>
                <w:lang w:val="en-US"/>
              </w:rPr>
              <w:t xml:space="preserve"> for each customer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9CE043C" w14:textId="423D2263" w:rsidR="00BC7378" w:rsidRDefault="00BC7378" w:rsidP="00904363">
      <w:pPr>
        <w:tabs>
          <w:tab w:val="left" w:pos="1644"/>
        </w:tabs>
        <w:spacing w:before="24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73AA" w14:paraId="4B62BC8A" w14:textId="77777777" w:rsidTr="006804B1">
        <w:tc>
          <w:tcPr>
            <w:tcW w:w="9062" w:type="dxa"/>
          </w:tcPr>
          <w:p w14:paraId="0A571F91" w14:textId="36603C81" w:rsidR="004373AA" w:rsidRDefault="004373A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32CEDE" wp14:editId="45845ED7">
                  <wp:extent cx="4865370" cy="296433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057" cy="299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C44823" w14:paraId="4C034EE0" w14:textId="77777777" w:rsidTr="006804B1">
        <w:tc>
          <w:tcPr>
            <w:tcW w:w="9062" w:type="dxa"/>
          </w:tcPr>
          <w:p w14:paraId="25E7E32F" w14:textId="0B4BF001" w:rsidR="004373AA" w:rsidRPr="00CF282B" w:rsidRDefault="004373A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CF282B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7</w:t>
            </w:r>
            <w:r w:rsidRPr="00CF282B">
              <w:rPr>
                <w:b/>
                <w:bCs/>
                <w:lang w:val="en-US"/>
              </w:rPr>
              <w:t xml:space="preserve">. </w:t>
            </w:r>
            <w:r w:rsidR="00CF282B" w:rsidRPr="00CF282B">
              <w:rPr>
                <w:b/>
                <w:bCs/>
                <w:lang w:val="en-US"/>
              </w:rPr>
              <w:t>Age Effect on Engagement Probability</w:t>
            </w:r>
            <w:r w:rsidRPr="00CF282B">
              <w:rPr>
                <w:b/>
                <w:bCs/>
                <w:lang w:val="en-US"/>
              </w:rPr>
              <w:t>.</w:t>
            </w:r>
          </w:p>
        </w:tc>
      </w:tr>
    </w:tbl>
    <w:p w14:paraId="4862DA36" w14:textId="77777777" w:rsidR="00DC1C5A" w:rsidRPr="00DC1C5A" w:rsidRDefault="00DC1C5A" w:rsidP="00904363">
      <w:pPr>
        <w:tabs>
          <w:tab w:val="left" w:pos="1644"/>
        </w:tabs>
        <w:rPr>
          <w:lang w:val="en-US"/>
        </w:rPr>
      </w:pPr>
    </w:p>
    <w:sectPr w:rsidR="00DC1C5A" w:rsidRPr="00DC1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A"/>
    <w:rsid w:val="00020FCF"/>
    <w:rsid w:val="000C6198"/>
    <w:rsid w:val="000F017F"/>
    <w:rsid w:val="000F58BC"/>
    <w:rsid w:val="00161B5E"/>
    <w:rsid w:val="001E27D4"/>
    <w:rsid w:val="0023096A"/>
    <w:rsid w:val="003420E9"/>
    <w:rsid w:val="0037193A"/>
    <w:rsid w:val="003908F2"/>
    <w:rsid w:val="00415985"/>
    <w:rsid w:val="00426DA3"/>
    <w:rsid w:val="004373AA"/>
    <w:rsid w:val="00443EBF"/>
    <w:rsid w:val="004A72AA"/>
    <w:rsid w:val="004C3459"/>
    <w:rsid w:val="004D329F"/>
    <w:rsid w:val="0053435D"/>
    <w:rsid w:val="005A0E96"/>
    <w:rsid w:val="005F6FE8"/>
    <w:rsid w:val="00776D43"/>
    <w:rsid w:val="00873EBB"/>
    <w:rsid w:val="0089188D"/>
    <w:rsid w:val="008961A2"/>
    <w:rsid w:val="00904363"/>
    <w:rsid w:val="00915DA0"/>
    <w:rsid w:val="00A826FF"/>
    <w:rsid w:val="00A91D02"/>
    <w:rsid w:val="00BC7378"/>
    <w:rsid w:val="00C44823"/>
    <w:rsid w:val="00C45347"/>
    <w:rsid w:val="00C63ECD"/>
    <w:rsid w:val="00CB287C"/>
    <w:rsid w:val="00CF282B"/>
    <w:rsid w:val="00CF582B"/>
    <w:rsid w:val="00D4187B"/>
    <w:rsid w:val="00DC1C5A"/>
    <w:rsid w:val="00E96D5D"/>
    <w:rsid w:val="00F1346F"/>
    <w:rsid w:val="00F7109F"/>
    <w:rsid w:val="00F95487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748E"/>
  <w15:chartTrackingRefBased/>
  <w15:docId w15:val="{1F977331-92D7-465D-A31C-66FF1F4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6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DA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Domsch</dc:creator>
  <cp:keywords/>
  <dc:description/>
  <cp:lastModifiedBy>Sebastian Domsch</cp:lastModifiedBy>
  <cp:revision>44</cp:revision>
  <cp:lastPrinted>2023-01-17T18:28:00Z</cp:lastPrinted>
  <dcterms:created xsi:type="dcterms:W3CDTF">2023-01-17T15:15:00Z</dcterms:created>
  <dcterms:modified xsi:type="dcterms:W3CDTF">2023-01-18T14:21:00Z</dcterms:modified>
</cp:coreProperties>
</file>