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111"/>
          <w:sz w:val="44"/>
          <w:szCs w:val="44"/>
        </w:rPr>
        <w:t xml:space="preserve">BRIEF DE LANDING PAGE</w:t>
      </w:r>
    </w:p>
    <w:p>
      <w:pPr>
        <w:spacing w:after="60"/>
      </w:pPr>
      <w:r>
        <w:rPr>
          <w:b/>
          <w:bCs/>
          <w:color w:val="5F1BBF"/>
          <w:sz w:val="26"/>
          <w:szCs w:val="26"/>
        </w:rPr>
        <w:t xml:space="preserve">Rosiv — el sistema operativo con empleados de IA para pymes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Preparado para sebastian · agosto 2026 · acompaña al mockup visual rosiv_landing_mockup.html</w:t>
      </w:r>
    </w:p>
    <w:p>
      <w:pPr>
        <w:pStyle w:val="Heading1"/>
        <w:pBdr>
          <w:bottom w:val="single" w:color="5F1BBF" w:sz="6" w:space="4"/>
        </w:pBdr>
        <w:spacing w:after="200" w:before="400"/>
      </w:pPr>
      <w:r>
        <w:rPr>
          <w:b/>
          <w:bCs/>
          <w:color w:val="111111"/>
          <w:sz w:val="30"/>
          <w:szCs w:val="30"/>
        </w:rPr>
        <w:t xml:space="preserve">1. Objetivo de la página</w:t>
      </w:r>
    </w:p>
    <w:p>
      <w:pPr>
        <w:spacing w:after="140" w:line="300"/>
      </w:pPr>
      <w:r>
        <w:rPr>
          <w:i w:val="false"/>
          <w:iCs w:val="false"/>
          <w:color w:val="262626"/>
          <w:sz w:val="21"/>
          <w:szCs w:val="21"/>
        </w:rPr>
        <w:t xml:space="preserve">Esta landing no debe venderse como "un POS para restaurantes": debe venderse como el sistema operativo con empleados de IA para el negocio que nunca tuvo un sistema. Esto conecta directamente con el hallazgo del análisis competitivo: el espacio en blanco de Rosiv está en el cruce entre simplicidad radical (como Treinta), empleados de IA que ejecutan tareas (como Laburen y Sintra) y un POS vertical propio con modo offline. La página tiene que demostrar ese cruce en los primeros 3 segundos, no explicarlo en un párrafo.</w:t>
      </w:r>
    </w:p>
    <w:p>
      <w:pPr>
        <w:spacing w:after="140" w:line="300"/>
      </w:pPr>
      <w:r>
        <w:rPr>
          <w:i w:val="false"/>
          <w:iCs w:val="false"/>
          <w:color w:val="262626"/>
          <w:sz w:val="21"/>
          <w:szCs w:val="21"/>
        </w:rPr>
        <w:t xml:space="preserve">Audiencia principal: dueños de negocios pequeños con baja adopción tecnológica (tenderos, restaurantes familiares, peluquerías, negocios que venden por WhatsApp) que probablemente nunca han usado un ERP y le temen a la tecnología "complicada". El lenguaje debe ser simple, cálido y en segunda persona ("tú"), nunca corporativo.</w:t>
      </w:r>
    </w:p>
    <w:p>
      <w:pPr>
        <w:pStyle w:val="Heading1"/>
        <w:pBdr>
          <w:bottom w:val="single" w:color="5F1BBF" w:sz="6" w:space="4"/>
        </w:pBdr>
        <w:spacing w:after="200" w:before="400"/>
      </w:pPr>
      <w:r>
        <w:rPr>
          <w:b/>
          <w:bCs/>
          <w:color w:val="111111"/>
          <w:sz w:val="30"/>
          <w:szCs w:val="30"/>
        </w:rPr>
        <w:t xml:space="preserve">2. Principios de diseño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Mobile-first de verdad. </w:t>
      </w:r>
      <w:r>
        <w:rPr>
          <w:sz w:val="21"/>
          <w:szCs w:val="21"/>
        </w:rPr>
        <w:t xml:space="preserve">La mayoría de los visitantes llegará desde un celular Android de gama media, muchas veces con datos limitados. Página liviana, imágenes optimizadas, sin animaciones pesadas.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WhatsApp como canal, no solo como feature. </w:t>
      </w:r>
      <w:r>
        <w:rPr>
          <w:sz w:val="21"/>
          <w:szCs w:val="21"/>
        </w:rPr>
        <w:t xml:space="preserve">Todo CTA importante debería tener una alternativa "o escríbenos por WhatsApp", replicando el canal que el usuario objetivo ya domina y en el que confía.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Cero jerga técnica. </w:t>
      </w:r>
      <w:r>
        <w:rPr>
          <w:sz w:val="21"/>
          <w:szCs w:val="21"/>
        </w:rPr>
        <w:t xml:space="preserve">Nada de 'ERP', 'omnicanalidad', 'dashboard'. Usar palabras como 'vender', 'cobrar', 'tu negocio', 'tu equipo'.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La IA se presenta como personas, no como features. </w:t>
      </w:r>
      <w:r>
        <w:rPr>
          <w:sz w:val="21"/>
          <w:szCs w:val="21"/>
        </w:rPr>
        <w:t xml:space="preserve">Nombrar a los empleados virtuales (ej. Mía, Leo, Sofía) los hace más fáciles de entender y de vender que un listado de 'capacidades de IA'.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Prueba de que funciona sin ser perfecto. </w:t>
      </w:r>
      <w:r>
        <w:rPr>
          <w:sz w:val="21"/>
          <w:szCs w:val="21"/>
        </w:rPr>
        <w:t xml:space="preserve">Mostrar números reales (76,000+ ventas) en vez de promesas abstractas; la audiencia de baja adopción tecnológica confía más en 'otros ya lo usan' que en argumentos técnicos.</w:t>
      </w:r>
    </w:p>
    <w:p>
      <w:pPr>
        <w:pStyle w:val="Heading1"/>
        <w:pBdr>
          <w:bottom w:val="single" w:color="5F1BBF" w:sz="6" w:space="4"/>
        </w:pBdr>
        <w:spacing w:after="200" w:before="400"/>
      </w:pPr>
      <w:r>
        <w:rPr>
          <w:b/>
          <w:bCs/>
          <w:color w:val="111111"/>
          <w:sz w:val="30"/>
          <w:szCs w:val="30"/>
        </w:rPr>
        <w:t xml:space="preserve">3. Identidad visual</w:t>
      </w:r>
    </w:p>
    <w:p>
      <w:pPr>
        <w:spacing w:after="80" w:before="160"/>
      </w:pPr>
      <w:r>
        <w:rPr>
          <w:b/>
          <w:bCs/>
          <w:color w:val="111111"/>
          <w:sz w:val="21"/>
          <w:szCs w:val="21"/>
        </w:rPr>
        <w:t xml:space="preserve">Colores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Morado de marca #5F1BBF — para CTAs principales, acentos, badges y la sección de 'empleados virtuales' (fondo oscuro con acentos morados para diferenciarla visualmente del resto).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Negro #111111 — texto principal y secciones de contraste (footer, sección de empleados virtuales).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Blanco #FFFFFF y un gris muy claro de fondo — para que la página se sienta abierta y descansada, no saturada; es clave para el público de baja adopción tecnológica, que se abruma con interfaces recargadas.</w:t>
      </w:r>
    </w:p>
    <w:p>
      <w:pPr>
        <w:spacing w:after="80" w:before="160"/>
      </w:pPr>
      <w:r>
        <w:rPr>
          <w:b/>
          <w:bCs/>
          <w:color w:val="111111"/>
          <w:sz w:val="21"/>
          <w:szCs w:val="21"/>
        </w:rPr>
        <w:t xml:space="preserve">Tipografía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Titulares: Aristotelica Display Trial (la fuente redondeada y amigable de la guía de marca) — refuerza cercanía y accesibilidad. Nota: al ser una versión 'Trial', se debe adquirir la licencia completa antes de publicar, o sustituir por una alternativa redondeada similar (ej. Baloo 2, Fredoka, Poppins SemiBold) como se hizo en el mockup adjunto.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Cuerpo de texto: una sans-serif simple y muy legible (Inter, Poppins o similar) — Aristotelica Display normalmente no está pensada para párrafos largos.</w:t>
      </w:r>
    </w:p>
    <w:p>
      <w:pPr>
        <w:spacing w:after="80" w:before="160"/>
      </w:pPr>
      <w:r>
        <w:rPr>
          <w:b/>
          <w:bCs/>
          <w:color w:val="111111"/>
          <w:sz w:val="21"/>
          <w:szCs w:val="21"/>
        </w:rPr>
        <w:t xml:space="preserve">Uso del isotipo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El glifo del logo (las dos cintas entrelazadas) funciona bien como elemento decorativo de fondo en baja opacidad detrás del hero, reforzando la idea de 'conexión' entre el negocio, WhatsApp y la IA sin competir con el texto.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Usar la versión horizontal (ícono + 'Rosiv') en el header sobre fondo claro, y la versión completamente blanca sobre fondo morado o negro en el footer o secciones oscuras.</w:t>
      </w:r>
    </w:p>
    <w:p>
      <w:pPr>
        <w:pStyle w:val="Heading1"/>
        <w:pBdr>
          <w:bottom w:val="single" w:color="5F1BBF" w:sz="6" w:space="4"/>
        </w:pBdr>
        <w:spacing w:after="200" w:before="400"/>
      </w:pPr>
      <w:r>
        <w:rPr>
          <w:b/>
          <w:bCs/>
          <w:color w:val="111111"/>
          <w:sz w:val="30"/>
          <w:szCs w:val="30"/>
        </w:rPr>
        <w:t xml:space="preserve">4. Mapa de secciones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300"/>
      </w:tblGrid>
      <w:tr>
        <w:trPr>
          <w:tblHeader/>
        </w:trPr>
        <w:tc>
          <w:tcPr>
            <w:tcW w:type="dxa" w:w="50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630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Header / navegación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Orientar sin saturar; un solo CTA claro ("Empieza gratis")</w:t>
            </w:r>
          </w:p>
        </w:tc>
      </w:tr>
      <w:tr>
        <w:tc>
          <w:tcPr>
            <w:tcW w:type="dxa" w:w="5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Hero</w:t>
            </w:r>
          </w:p>
        </w:tc>
        <w:tc>
          <w:tcPr>
            <w:tcW w:type="dxa" w:w="63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Comunicar en 3 segundos qué es Rosiv y para quién 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Empatía / confianza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Bajar la guardia del usuario con baja adopción tecnológica</w:t>
            </w:r>
          </w:p>
        </w:tc>
      </w:tr>
      <w:tr>
        <w:tc>
          <w:tcPr>
            <w:tcW w:type="dxa" w:w="5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Cómo funciona (3 pasos)</w:t>
            </w:r>
          </w:p>
        </w:tc>
        <w:tc>
          <w:tcPr>
            <w:tcW w:type="dxa" w:w="63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Mostrar que no hay curva de aprendizaje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Empleados virtuales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Presentar la IA como personas del equipo, no como funciones abstractas</w:t>
            </w:r>
          </w:p>
        </w:tc>
      </w:tr>
      <w:tr>
        <w:tc>
          <w:tcPr>
            <w:tcW w:type="dxa" w:w="5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Diferenciadores</w:t>
            </w:r>
          </w:p>
        </w:tc>
        <w:tc>
          <w:tcPr>
            <w:tcW w:type="dxa" w:w="63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Justificar por qué Rosiv y no Alegra/Treinta/Loyverse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Prueba social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Reducir el riesgo percibido con casos reales</w:t>
            </w:r>
          </w:p>
        </w:tc>
      </w:tr>
      <w:tr>
        <w:tc>
          <w:tcPr>
            <w:tcW w:type="dxa" w:w="5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Precios</w:t>
            </w:r>
          </w:p>
        </w:tc>
        <w:tc>
          <w:tcPr>
            <w:tcW w:type="dxa" w:w="63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Facilitar el "sí" con un plan gratuito real y sin fricción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Preguntas frecuentes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Resolver objeciones de confianza y de tecnología antes de que aparezcan</w:t>
            </w:r>
          </w:p>
        </w:tc>
      </w:tr>
      <w:tr>
        <w:tc>
          <w:tcPr>
            <w:tcW w:type="dxa" w:w="5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CTA final + WhatsApp</w:t>
            </w:r>
          </w:p>
        </w:tc>
        <w:tc>
          <w:tcPr>
            <w:tcW w:type="dxa" w:w="6300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Convertir con el canal que el usuario ya domina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Footer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Legal, contacto y refuerzo de marca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5F1BBF" w:sz="6" w:space="4"/>
        </w:pBdr>
        <w:spacing w:after="200" w:before="400"/>
      </w:pPr>
      <w:r>
        <w:rPr>
          <w:b/>
          <w:bCs/>
          <w:color w:val="111111"/>
          <w:sz w:val="30"/>
          <w:szCs w:val="30"/>
        </w:rPr>
        <w:t xml:space="preserve">5. Copy y contenido sugerido por sección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5.1 Header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Logo Rosiv a la izquierda (versión horizontal, fondo claro).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Links: 'Cómo funciona', 'Empleados IA', 'Precios', 'Historias'.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Un solo botón de acción a la derecha: 'Empieza gratis' (morado, siempre visible).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5.2 Hero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Badge superior: </w:t>
      </w:r>
      <w:r>
        <w:rPr>
          <w:i/>
          <w:iCs/>
          <w:sz w:val="21"/>
          <w:szCs w:val="21"/>
        </w:rPr>
        <w:t xml:space="preserve">Nuevo · Empleados virtuales con IA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Titular: </w:t>
      </w:r>
      <w:r>
        <w:rPr>
          <w:i/>
          <w:iCs/>
          <w:sz w:val="21"/>
          <w:szCs w:val="21"/>
        </w:rPr>
        <w:t xml:space="preserve">El sistema operativo para el negocio que nunca tuvo un sistema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Subtítulo: </w:t>
      </w:r>
      <w:r>
        <w:rPr>
          <w:i/>
          <w:iCs/>
          <w:sz w:val="21"/>
          <w:szCs w:val="21"/>
        </w:rPr>
        <w:t xml:space="preserve">Vende, factura y crece con empleados virtuales que trabajan por ti — todo desde tu celular, sin curva de aprendizaje y sin necesitar internet.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CTA primario: </w:t>
      </w:r>
      <w:r>
        <w:rPr>
          <w:i/>
          <w:iCs/>
          <w:sz w:val="21"/>
          <w:szCs w:val="21"/>
        </w:rPr>
        <w:t xml:space="preserve">Empieza gratis →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CTA secundario: </w:t>
      </w:r>
      <w:r>
        <w:rPr>
          <w:i/>
          <w:iCs/>
          <w:sz w:val="21"/>
          <w:szCs w:val="21"/>
        </w:rPr>
        <w:t xml:space="preserve">Ver cómo funciona</w:t>
      </w:r>
    </w:p>
    <w:p>
      <w:pPr>
        <w:spacing w:after="140" w:line="300"/>
      </w:pPr>
      <w:r>
        <w:rPr>
          <w:i w:val="false"/>
          <w:iCs w:val="false"/>
          <w:color w:val="262626"/>
          <w:sz w:val="21"/>
          <w:szCs w:val="21"/>
        </w:rPr>
        <w:t xml:space="preserve">Bajo los CTA, una barra de confianza con tres cifras concretas: '76,000+ ventas procesadas', '100% funciona offline', 'DIAN facturación legal'. A la derecha, un mockup de celular mostrando una conversación de WhatsApp donde 'Mía' (la cajera virtual) cierra una venta y emite la factura — esto comunica el producto completo sin necesidad de leer nada más.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5.3 Empatía / confianza</w:t>
      </w:r>
    </w:p>
    <w:p>
      <w:pPr>
        <w:spacing w:after="140" w:line="300"/>
      </w:pPr>
      <w:r>
        <w:rPr>
          <w:i w:val="false"/>
          <w:iCs w:val="false"/>
          <w:color w:val="262626"/>
          <w:sz w:val="21"/>
          <w:szCs w:val="21"/>
        </w:rPr>
        <w:t xml:space="preserve">Sección corta, casi un respiro visual, que nombra directamente el miedo del usuario antes de que lo piense: 'Sabemos que la tecnología puede sentirse complicada. Por eso Rosiv se explica solo.' Puede ir acompañada de un ícono simple (no una ilustración compleja) y un dato humano, como una cita corta de un tendero real.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5.4 Cómo funciona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Título: </w:t>
      </w:r>
      <w:r>
        <w:rPr>
          <w:i/>
          <w:iCs/>
          <w:sz w:val="21"/>
          <w:szCs w:val="21"/>
        </w:rPr>
        <w:t xml:space="preserve">Tres pasos. Cero complicaciones.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Paso 1: </w:t>
      </w:r>
      <w:r>
        <w:rPr>
          <w:i/>
          <w:iCs/>
          <w:sz w:val="21"/>
          <w:szCs w:val="21"/>
        </w:rPr>
        <w:t xml:space="preserve">Regístrate en 3 minutos — cuéntale a Rosiv sobre tu negocio por voz o WhatsApp, sin formularios largos.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Paso 2: </w:t>
      </w:r>
      <w:r>
        <w:rPr>
          <w:i/>
          <w:iCs/>
          <w:sz w:val="21"/>
          <w:szCs w:val="21"/>
        </w:rPr>
        <w:t xml:space="preserve">Activa tu equipo virtual — elige qué empleados de IA necesitas: cajera, cobrador, encargado de inventario.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Paso 3: </w:t>
      </w:r>
      <w:r>
        <w:rPr>
          <w:i/>
          <w:iCs/>
          <w:sz w:val="21"/>
          <w:szCs w:val="21"/>
        </w:rPr>
        <w:t xml:space="preserve">Vende y crece tranquilo — Rosiv factura, controla tu inventario y te avisa todo por WhatsApp, con o sin internet.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5.5 Empleados virtuales (sección clave de diferenciación)</w:t>
      </w:r>
    </w:p>
    <w:p>
      <w:pPr>
        <w:spacing w:after="140" w:line="300"/>
      </w:pPr>
      <w:r>
        <w:rPr>
          <w:i w:val="false"/>
          <w:iCs w:val="false"/>
          <w:color w:val="262626"/>
          <w:sz w:val="21"/>
          <w:szCs w:val="21"/>
        </w:rPr>
        <w:t xml:space="preserve">Esta es la sección que más debe distinguir a Rosiv de Alegra (IA genérica de contabilidad) y de Laburen (IA sin POS propio). En vez de listar 'funciones de IA', se presentan como miembros de un equipo: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Mía — Cajera virtual: </w:t>
      </w:r>
      <w:r>
        <w:rPr>
          <w:i/>
          <w:iCs/>
          <w:sz w:val="21"/>
          <w:szCs w:val="21"/>
        </w:rPr>
        <w:t xml:space="preserve">Cobra, factura por WhatsApp y cierra la venta sin que tengas que tocar el celular.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Leo — Encargado de inventario: </w:t>
      </w:r>
      <w:r>
        <w:rPr>
          <w:i/>
          <w:iCs/>
          <w:sz w:val="21"/>
          <w:szCs w:val="21"/>
        </w:rPr>
        <w:t xml:space="preserve">Avisa cuando algo se está agotando y actualiza tu stock automáticamente con cada venta.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Sofía — Cobradora virtual: </w:t>
      </w:r>
      <w:r>
        <w:rPr>
          <w:i/>
          <w:iCs/>
          <w:sz w:val="21"/>
          <w:szCs w:val="21"/>
        </w:rPr>
        <w:t xml:space="preserve">Recuerda pagos pendientes y hace seguimiento a tus clientes por WhatsApp, sin que suene incómodo.</w:t>
      </w:r>
    </w:p>
    <w:p>
      <w:pPr>
        <w:spacing w:after="140" w:line="300"/>
      </w:pPr>
      <w:r>
        <w:rPr>
          <w:i/>
          <w:iCs/>
          <w:color w:val="262626"/>
          <w:sz w:val="21"/>
          <w:szCs w:val="21"/>
        </w:rPr>
        <w:t xml:space="preserve">Diseño recomendado: fondo negro/oscuro para separar visualmente esta sección como 'el equipo', con tarjetas que incluyan un avatar circular con inicial, el nombre, el rol y una frase corta de lo que hace — nunca una lista técnica de capacidades.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5.6 Diferenciadores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Funciona sin internet: </w:t>
      </w:r>
      <w:r>
        <w:rPr>
          <w:i/>
          <w:iCs/>
          <w:sz w:val="21"/>
          <w:szCs w:val="21"/>
        </w:rPr>
        <w:t xml:space="preserve">Sigue vendiendo aunque se caiga la conexión. Todo se sincroniza solo cuando vuelve la señal.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Factura desde WhatsApp: </w:t>
      </w:r>
      <w:r>
        <w:rPr>
          <w:i/>
          <w:iCs/>
          <w:sz w:val="21"/>
          <w:szCs w:val="21"/>
        </w:rPr>
        <w:t xml:space="preserve">Tus clientes reciben su factura electrónica al instante, en el chat que ya usan todos los días.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Cumple con la ley: </w:t>
      </w:r>
      <w:r>
        <w:rPr>
          <w:i/>
          <w:iCs/>
          <w:sz w:val="21"/>
          <w:szCs w:val="21"/>
        </w:rPr>
        <w:t xml:space="preserve">Facturación electrónica alineada con la DIAN, sin que tengas que entender de normativas.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Crece contigo: </w:t>
      </w:r>
      <w:r>
        <w:rPr>
          <w:i/>
          <w:iCs/>
          <w:sz w:val="21"/>
          <w:szCs w:val="21"/>
        </w:rPr>
        <w:t xml:space="preserve">Empieza gratis con lo básico y suma empleados virtuales solo cuando tu negocio lo necesite.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5.7 Prueba social</w:t>
      </w:r>
    </w:p>
    <w:p>
      <w:pPr>
        <w:spacing w:after="140" w:line="300"/>
      </w:pPr>
      <w:r>
        <w:rPr>
          <w:i w:val="false"/>
          <w:iCs w:val="false"/>
          <w:color w:val="262626"/>
          <w:sz w:val="21"/>
          <w:szCs w:val="21"/>
        </w:rPr>
        <w:t xml:space="preserve">Testimonios cortos (1-2 frases) de dueños de negocio reales, con nombre, tipo de negocio y ciudad — nunca logos corporativos genéricos. Si es posible, un video de 20-30 segundos de un cliente real mostrando cómo usa Rosiv desde su celular tiene más impacto que cualquier copy en esta audiencia.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5.8 Precios</w:t>
      </w:r>
    </w:p>
    <w:p>
      <w:pPr>
        <w:spacing w:after="140" w:line="300"/>
      </w:pPr>
      <w:r>
        <w:rPr>
          <w:i w:val="false"/>
          <w:iCs w:val="false"/>
          <w:color w:val="262626"/>
          <w:sz w:val="21"/>
          <w:szCs w:val="21"/>
        </w:rPr>
        <w:t xml:space="preserve">Recomendación directa del análisis competitivo: el plan gratuito debe ser generoso (ventas ilimitadas, no solo 50 órdenes/mes) para competir con el modelo de adopción de Treinta y Loyverse. Estructura sugerida: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Plan Gratis ($0/siempre): </w:t>
      </w:r>
      <w:r>
        <w:rPr>
          <w:i/>
          <w:iCs/>
          <w:sz w:val="21"/>
          <w:szCs w:val="21"/>
        </w:rPr>
        <w:t xml:space="preserve">Ventas ilimitadas, inventario básico, funciona offline, 1 empleado virtual básico.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Plan Pro (destacado, 'Más popular'): </w:t>
      </w:r>
      <w:r>
        <w:rPr>
          <w:i/>
          <w:iCs/>
          <w:sz w:val="21"/>
          <w:szCs w:val="21"/>
        </w:rPr>
        <w:t xml:space="preserve">Todo lo del plan Gratis + facturación electrónica DIAN + equipo completo de empleados virtuales + soporte prioritario.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Plan Empresa (a medida): </w:t>
      </w:r>
      <w:r>
        <w:rPr>
          <w:i/>
          <w:iCs/>
          <w:sz w:val="21"/>
          <w:szCs w:val="21"/>
        </w:rPr>
        <w:t xml:space="preserve">Múltiples sedes, empleados virtuales personalizados, gerente de cuenta dedicado.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5.9 Preguntas frecuentes</w:t>
      </w:r>
    </w:p>
    <w:p>
      <w:pPr>
        <w:spacing w:after="140" w:line="300"/>
      </w:pPr>
      <w:r>
        <w:rPr>
          <w:i w:val="false"/>
          <w:iCs w:val="false"/>
          <w:color w:val="262626"/>
          <w:sz w:val="21"/>
          <w:szCs w:val="21"/>
        </w:rPr>
        <w:t xml:space="preserve">Deben resolver el miedo específico del público objetivo, no dudas genéricas de producto: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¿Necesito saber de tecnología para usar Rosiv?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¿Funciona si no tengo internet todo el tiempo?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¿Es legal facturar por WhatsApp?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¿Qué pasa si quiero cancelar?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¿Mis datos y los de mis clientes están seguros?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5.10 CTA final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Título: </w:t>
      </w:r>
      <w:r>
        <w:rPr>
          <w:i/>
          <w:iCs/>
          <w:sz w:val="21"/>
          <w:szCs w:val="21"/>
        </w:rPr>
        <w:t xml:space="preserve">Digitaliza tu negocio sin complicarte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Subtítulo: </w:t>
      </w:r>
      <w:r>
        <w:rPr>
          <w:i/>
          <w:iCs/>
          <w:sz w:val="21"/>
          <w:szCs w:val="21"/>
        </w:rPr>
        <w:t xml:space="preserve">Empieza gratis hoy — sin tarjeta de crédito, sin curva de aprendizaje.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5F1BBF"/>
          <w:sz w:val="21"/>
          <w:szCs w:val="21"/>
        </w:rPr>
        <w:t xml:space="preserve">Botón: </w:t>
      </w:r>
      <w:r>
        <w:rPr>
          <w:i/>
          <w:iCs/>
          <w:sz w:val="21"/>
          <w:szCs w:val="21"/>
        </w:rPr>
        <w:t xml:space="preserve">Empieza por WhatsApp (verde, ícono de WhatsApp, abre un chat directo)</w:t>
      </w:r>
    </w:p>
    <w:p>
      <w:pPr>
        <w:spacing w:after="140" w:line="300"/>
      </w:pPr>
      <w:r>
        <w:rPr>
          <w:i/>
          <w:iCs/>
          <w:color w:val="262626"/>
          <w:sz w:val="21"/>
          <w:szCs w:val="21"/>
        </w:rPr>
        <w:t xml:space="preserve">Ofrecer el CTA final en formato de bloque morado de ancho contenido (no full-bleed) le da un cierre visual fuerte sin sentirse agresivo.</w:t>
      </w:r>
    </w:p>
    <w:p>
      <w:pPr>
        <w:pStyle w:val="Heading2"/>
        <w:spacing w:after="120" w:before="300"/>
      </w:pPr>
      <w:r>
        <w:rPr>
          <w:b/>
          <w:bCs/>
          <w:color w:val="5F1BBF"/>
          <w:sz w:val="24"/>
          <w:szCs w:val="24"/>
        </w:rPr>
        <w:t xml:space="preserve">5.11 Footer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Logo en versión blanca sobre fondo negro.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Tres columnas: Producto, Empresa, Legal.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Línea final con copyright y un guiño local: 'Colombia 🇨🇴 · hecho para Latinoamérica' (ajustar bandera/país según el mercado de lanzamiento).</w:t>
      </w:r>
    </w:p>
    <w:p>
      <w:pPr>
        <w:pStyle w:val="Heading1"/>
        <w:pBdr>
          <w:bottom w:val="single" w:color="5F1BBF" w:sz="6" w:space="4"/>
        </w:pBdr>
        <w:spacing w:after="200" w:before="400"/>
      </w:pPr>
      <w:r>
        <w:rPr>
          <w:b/>
          <w:bCs/>
          <w:color w:val="111111"/>
          <w:sz w:val="30"/>
          <w:szCs w:val="30"/>
        </w:rPr>
        <w:t xml:space="preserve">6. Consideraciones técnicas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Peso de página. </w:t>
      </w:r>
      <w:r>
        <w:rPr>
          <w:sz w:val="21"/>
          <w:szCs w:val="21"/>
        </w:rPr>
        <w:t xml:space="preserve">Optimizar imágenes (WebP), evitar librerías pesadas de animación; el público objetivo puede tener planes de datos limitados.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Accesibilidad tipográfica. </w:t>
      </w:r>
      <w:r>
        <w:rPr>
          <w:sz w:val="21"/>
          <w:szCs w:val="21"/>
        </w:rPr>
        <w:t xml:space="preserve">Tamaños de texto generosos (mínimo 16px en cuerpo), alto contraste, botones grandes y fáciles de tocar en móvil.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Onboarding continuo con la página. </w:t>
      </w:r>
      <w:r>
        <w:rPr>
          <w:sz w:val="21"/>
          <w:szCs w:val="21"/>
        </w:rPr>
        <w:t xml:space="preserve">Idealmente el CTA 'Empieza gratis' lleva a un registro que replica el mismo lenguaje simple del sitio — por voz o WhatsApp, no un formulario largo con muchos campos.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Prueba en dispositivos reales de gama media. </w:t>
      </w:r>
      <w:r>
        <w:rPr>
          <w:sz w:val="21"/>
          <w:szCs w:val="21"/>
        </w:rPr>
        <w:t xml:space="preserve">Validar la página en un Android de gama baja/media con conexión 3G/4G simulada antes de lanzar, dado que ese es el dispositivo real del usuario objetivo.</w:t>
      </w:r>
    </w:p>
    <w:p>
      <w:pPr>
        <w:pStyle w:val="Heading1"/>
        <w:pBdr>
          <w:bottom w:val="single" w:color="5F1BBF" w:sz="6" w:space="4"/>
        </w:pBdr>
        <w:spacing w:after="200" w:before="400"/>
      </w:pPr>
      <w:r>
        <w:rPr>
          <w:b/>
          <w:bCs/>
          <w:color w:val="111111"/>
          <w:sz w:val="30"/>
          <w:szCs w:val="30"/>
        </w:rPr>
        <w:t xml:space="preserve">7. Métricas para validar la página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Tiempo hasta el primer registro completado (objetivo: menos de 3 minutos, consistente con el mensaje de la página).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Porcentaje de visitantes que usan el botón de WhatsApp vs. el formulario tradicional.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Tasa de activación: usuarios que registran su primera venta en las primeras 24 horas.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Scroll depth hasta la sección de 'empleados virtuales' — si es baja, el hero no está comunicando bien el diferenciador.</w:t>
      </w:r>
    </w:p>
    <w:p>
      <w:pPr>
        <w:pStyle w:val="Heading1"/>
        <w:pBdr>
          <w:bottom w:val="single" w:color="5F1BBF" w:sz="6" w:space="4"/>
        </w:pBdr>
        <w:spacing w:after="200" w:before="400"/>
      </w:pPr>
      <w:r>
        <w:rPr>
          <w:b/>
          <w:bCs/>
          <w:color w:val="111111"/>
          <w:sz w:val="30"/>
          <w:szCs w:val="30"/>
        </w:rPr>
        <w:t xml:space="preserve">Nota sobre el mockup adjunto</w:t>
      </w:r>
    </w:p>
    <w:p>
      <w:pPr>
        <w:spacing w:after="140" w:line="300"/>
      </w:pPr>
      <w:r>
        <w:rPr>
          <w:i w:val="false"/>
          <w:iCs w:val="false"/>
          <w:color w:val="595959"/>
          <w:sz w:val="21"/>
          <w:szCs w:val="21"/>
        </w:rPr>
        <w:t xml:space="preserve">El archivo rosiv_landing_mockup.html es una referencia visual estática (no funcional) construida con la paleta de colores oficial (#5F1BBF, #111111, #FFFFFF) y el logo real de Rosiv, usando Baloo 2 como aproximación libre a Aristotelica Display Trial para los titulares. Sirve para visualizar la jerarquía y el tono de la página; el desarrollo final debe usar la tipografía con licencia completa y ajustar el copy final según pruebas con usuarios reales.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2026-08-05T17:27:03.819Z</dcterms:created>
  <dcterms:modified xsi:type="dcterms:W3CDTF">2026-08-05T17:27:03.820Z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