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FC39" w14:textId="7E3147E7" w:rsidR="008C2F9C" w:rsidRPr="003D525F" w:rsidRDefault="008C2F9C" w:rsidP="008C2F9C">
      <w:pPr>
        <w:jc w:val="center"/>
        <w:rPr>
          <w:rFonts w:ascii="Times New Roman" w:hAnsi="Times New Roman" w:cs="Times New Roman"/>
          <w:sz w:val="22"/>
          <w:szCs w:val="22"/>
        </w:rPr>
      </w:pPr>
      <w:r>
        <w:rPr>
          <w:rFonts w:ascii="Times New Roman" w:hAnsi="Times New Roman" w:cs="Times New Roman"/>
          <w:b/>
          <w:bCs/>
          <w:sz w:val="22"/>
          <w:szCs w:val="22"/>
        </w:rPr>
        <w:t>Lecturas de accesibilidad</w:t>
      </w:r>
    </w:p>
    <w:p w14:paraId="6EC3EAED"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p>
    <w:p w14:paraId="6D18663A"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t>Sebastián Pulgarín</w:t>
      </w:r>
    </w:p>
    <w:p w14:paraId="5C16C112" w14:textId="77777777" w:rsidR="008C2F9C" w:rsidRDefault="008C2F9C" w:rsidP="008C2F9C">
      <w:pPr>
        <w:jc w:val="center"/>
        <w:rPr>
          <w:rFonts w:ascii="Times New Roman" w:hAnsi="Times New Roman" w:cs="Times New Roman"/>
          <w:sz w:val="22"/>
          <w:szCs w:val="22"/>
        </w:rPr>
      </w:pPr>
    </w:p>
    <w:p w14:paraId="6FF9AF12" w14:textId="77777777" w:rsidR="008C2F9C" w:rsidRDefault="008C2F9C" w:rsidP="008C2F9C">
      <w:pPr>
        <w:jc w:val="center"/>
        <w:rPr>
          <w:rFonts w:ascii="Times New Roman" w:hAnsi="Times New Roman" w:cs="Times New Roman"/>
          <w:sz w:val="22"/>
          <w:szCs w:val="22"/>
        </w:rPr>
      </w:pPr>
    </w:p>
    <w:p w14:paraId="58BE3615" w14:textId="77777777" w:rsidR="008C2F9C" w:rsidRDefault="008C2F9C" w:rsidP="008C2F9C">
      <w:pPr>
        <w:jc w:val="center"/>
        <w:rPr>
          <w:rFonts w:ascii="Times New Roman" w:hAnsi="Times New Roman" w:cs="Times New Roman"/>
          <w:sz w:val="22"/>
          <w:szCs w:val="22"/>
        </w:rPr>
      </w:pPr>
    </w:p>
    <w:p w14:paraId="142D96E1"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r w:rsidRPr="003D525F">
        <w:rPr>
          <w:rFonts w:ascii="Times New Roman" w:hAnsi="Times New Roman" w:cs="Times New Roman"/>
          <w:sz w:val="22"/>
          <w:szCs w:val="22"/>
        </w:rPr>
        <w:br/>
      </w:r>
    </w:p>
    <w:p w14:paraId="3401E1A6"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t>Pontificia Universidad Javeriana Cali</w:t>
      </w:r>
    </w:p>
    <w:p w14:paraId="473A61B7"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t>Diseño Centrado en el Usuario</w:t>
      </w:r>
    </w:p>
    <w:p w14:paraId="25C37D1A" w14:textId="77777777" w:rsidR="008C2F9C" w:rsidRPr="003D525F" w:rsidRDefault="008C2F9C" w:rsidP="008C2F9C">
      <w:pPr>
        <w:jc w:val="center"/>
        <w:rPr>
          <w:rFonts w:ascii="Times New Roman" w:hAnsi="Times New Roman" w:cs="Times New Roman"/>
          <w:sz w:val="22"/>
          <w:szCs w:val="22"/>
        </w:rPr>
      </w:pPr>
      <w:r w:rsidRPr="003D525F">
        <w:rPr>
          <w:rFonts w:ascii="Times New Roman" w:hAnsi="Times New Roman" w:cs="Times New Roman"/>
          <w:sz w:val="22"/>
          <w:szCs w:val="22"/>
        </w:rPr>
        <w:t>Elizabeth Moncada Dorado</w:t>
      </w:r>
    </w:p>
    <w:p w14:paraId="57A31D32" w14:textId="5A0D72BC" w:rsidR="008C2F9C" w:rsidRDefault="008C2F9C" w:rsidP="008C2F9C">
      <w:pPr>
        <w:jc w:val="center"/>
        <w:rPr>
          <w:rFonts w:ascii="Times New Roman" w:hAnsi="Times New Roman" w:cs="Times New Roman"/>
          <w:sz w:val="22"/>
          <w:szCs w:val="22"/>
        </w:rPr>
      </w:pPr>
      <w:r>
        <w:rPr>
          <w:rFonts w:ascii="Times New Roman" w:hAnsi="Times New Roman" w:cs="Times New Roman"/>
          <w:sz w:val="22"/>
          <w:szCs w:val="22"/>
        </w:rPr>
        <w:t>25</w:t>
      </w:r>
      <w:r w:rsidRPr="003D525F">
        <w:rPr>
          <w:rFonts w:ascii="Times New Roman" w:hAnsi="Times New Roman" w:cs="Times New Roman"/>
          <w:sz w:val="22"/>
          <w:szCs w:val="22"/>
        </w:rPr>
        <w:t xml:space="preserve"> de </w:t>
      </w:r>
      <w:r>
        <w:rPr>
          <w:rFonts w:ascii="Times New Roman" w:hAnsi="Times New Roman" w:cs="Times New Roman"/>
          <w:sz w:val="22"/>
          <w:szCs w:val="22"/>
        </w:rPr>
        <w:t>octubre</w:t>
      </w:r>
      <w:r w:rsidRPr="003D525F">
        <w:rPr>
          <w:rFonts w:ascii="Times New Roman" w:hAnsi="Times New Roman" w:cs="Times New Roman"/>
          <w:sz w:val="22"/>
          <w:szCs w:val="22"/>
        </w:rPr>
        <w:t xml:space="preserve"> de 2025</w:t>
      </w:r>
    </w:p>
    <w:p w14:paraId="50F78F4E" w14:textId="77777777" w:rsidR="008C2F9C" w:rsidRDefault="008C2F9C">
      <w:pPr>
        <w:rPr>
          <w:rFonts w:ascii="Times New Roman" w:hAnsi="Times New Roman" w:cs="Times New Roman"/>
          <w:sz w:val="22"/>
          <w:szCs w:val="22"/>
        </w:rPr>
      </w:pPr>
      <w:r>
        <w:rPr>
          <w:rFonts w:ascii="Times New Roman" w:hAnsi="Times New Roman" w:cs="Times New Roman"/>
          <w:sz w:val="22"/>
          <w:szCs w:val="22"/>
        </w:rPr>
        <w:br w:type="page"/>
      </w:r>
    </w:p>
    <w:p w14:paraId="7315477B" w14:textId="77777777" w:rsidR="008C2F9C" w:rsidRPr="008C2F9C" w:rsidRDefault="008C2F9C" w:rsidP="008C2F9C">
      <w:pPr>
        <w:jc w:val="both"/>
        <w:rPr>
          <w:rFonts w:ascii="Times New Roman" w:hAnsi="Times New Roman" w:cs="Times New Roman"/>
          <w:b/>
          <w:bCs/>
          <w:sz w:val="22"/>
          <w:szCs w:val="22"/>
        </w:rPr>
      </w:pPr>
      <w:r w:rsidRPr="008C2F9C">
        <w:rPr>
          <w:rFonts w:ascii="Times New Roman" w:hAnsi="Times New Roman" w:cs="Times New Roman"/>
          <w:b/>
          <w:bCs/>
          <w:sz w:val="22"/>
          <w:szCs w:val="22"/>
        </w:rPr>
        <w:lastRenderedPageBreak/>
        <w:t>Artículo 1: Redefinición de las TIC en el museo: Del discurso invasivo al inclusivo</w:t>
      </w:r>
    </w:p>
    <w:p w14:paraId="317A5854" w14:textId="77C1CE3A" w:rsidR="001E2E0E" w:rsidRPr="001E2E0E" w:rsidRDefault="001E2E0E" w:rsidP="001E2E0E">
      <w:pPr>
        <w:jc w:val="both"/>
        <w:rPr>
          <w:rFonts w:ascii="Times New Roman" w:hAnsi="Times New Roman" w:cs="Times New Roman"/>
          <w:b/>
          <w:bCs/>
          <w:sz w:val="22"/>
          <w:szCs w:val="22"/>
        </w:rPr>
      </w:pPr>
      <w:r>
        <w:rPr>
          <w:rFonts w:ascii="Times New Roman" w:hAnsi="Times New Roman" w:cs="Times New Roman"/>
          <w:b/>
          <w:bCs/>
          <w:sz w:val="22"/>
          <w:szCs w:val="22"/>
        </w:rPr>
        <w:t>sección 2:</w:t>
      </w:r>
    </w:p>
    <w:p w14:paraId="12643B3D" w14:textId="072BAC36"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El artículo nos muestra cómo la tecnología en los museos muchas veces se implementa de manera inadecuada, sin pensar realmente en la experiencia del visitante. Los autores plantean que el problema principal está en que las TIC se incorporan de forma "invasiva", como si fueran simplemente un adorno de modernidad que se coloca sin integrar correctamente con lo que el museo realmente quiere comunicar.</w:t>
      </w:r>
    </w:p>
    <w:p w14:paraId="2A4148E3" w14:textId="499B75C3" w:rsid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Las disfunciones museográficas que identifican son bastante claras. Primero, hay una tendencia a privilegiar la tecnología por encima del contenido mismo. Esto significa que se ponen pantallas e interfaces interactivas pensando más en lo novedoso que en si realmente ayudan a comprender mejor las obras o la narrativa del museo. El resultado es que el visitante puede terminar más distraído con la tecnología que conectado con lo que está viendo. Segundo, existe una desconexión entre el museo físico y el museo digital o móvil. No hay continuidad en la experiencia cuando pasas de estar en el espacio físico a interactuar con aplicaciones o contenidos en línea. Y tercero, el diseño de estas instalaciones tecnológicas generalmente se hace pensando en personas sin ningún tipo de limitación, lo que deja por fuera a muchos visitantes con discapacidades sensoriales o físicas, la tecnología que debería facilitar el acceso termina convirtiéndose en una barrera más.</w:t>
      </w:r>
    </w:p>
    <w:p w14:paraId="148297C4" w14:textId="6111865F" w:rsidR="001E2E0E" w:rsidRPr="008C2F9C" w:rsidRDefault="001E2E0E" w:rsidP="001E2E0E">
      <w:pPr>
        <w:jc w:val="both"/>
        <w:rPr>
          <w:rFonts w:ascii="Times New Roman" w:hAnsi="Times New Roman" w:cs="Times New Roman"/>
          <w:b/>
          <w:bCs/>
          <w:sz w:val="22"/>
          <w:szCs w:val="22"/>
        </w:rPr>
      </w:pPr>
      <w:r>
        <w:rPr>
          <w:rFonts w:ascii="Times New Roman" w:hAnsi="Times New Roman" w:cs="Times New Roman"/>
          <w:b/>
          <w:bCs/>
          <w:sz w:val="22"/>
          <w:szCs w:val="22"/>
        </w:rPr>
        <w:t>Sección 3:</w:t>
      </w:r>
    </w:p>
    <w:p w14:paraId="2595E902"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En cuanto a los problemas específicos de accesibilidad relacionados con la tecnología, el artículo destaca tres aspectos importantes. El primero tiene que ver con la usabilidad de las interfaces. Muchas veces las tecnologías que se instalan son complicadas de usar o simplemente no están adaptadas para personas con diferentes capacidades, como quienes tienen problemas de movilidad, visión o audición. El reto aquí es diseñar interfaces que sean intuitivas y que prácticamente se vuelvan "invisibles" en lugar de imponerse sobre la experiencia museográfica.</w:t>
      </w:r>
    </w:p>
    <w:p w14:paraId="0318C294"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El segundo problema es la falta de integración entre lo físico y lo digital. La tecnología se usa de manera aislada, sin crear puentes entre el objeto que estás viendo, el espacio donde te encuentras y la experiencia digital que se ofrece. Esto hace difícil que los visitantes con diversidad funcional puedan participar plenamente, porque no hay una continuidad que les permita moverse cómodamente entre estos diferentes niveles de experiencia. El desafío es lograr que el museo físico y el digital funcionen como un todo coherente y accesible.</w:t>
      </w:r>
    </w:p>
    <w:p w14:paraId="67ED5ADD"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El tercer problema está en el contenido mismo. No es suficiente con instalar tecnología avanzada si el contenido no está pensado para diferentes tipos de público. Si no hay alternativas para personas sordas, con baja visión o con movilidad reducida, la tecnología no cumple su propósito inclusivo. El reto más grande aquí es crear narrativas y experiencias que verdaderamente consideren la diversidad de formas en que las personas acceden a la información y se relacionan con el espacio del museo.</w:t>
      </w:r>
    </w:p>
    <w:p w14:paraId="1FAAF27C" w14:textId="77777777" w:rsidR="008C2F9C" w:rsidRPr="008C2F9C" w:rsidRDefault="008C2F9C" w:rsidP="008C2F9C">
      <w:pPr>
        <w:jc w:val="both"/>
        <w:rPr>
          <w:rFonts w:ascii="Times New Roman" w:hAnsi="Times New Roman" w:cs="Times New Roman"/>
          <w:b/>
          <w:bCs/>
          <w:sz w:val="22"/>
          <w:szCs w:val="22"/>
        </w:rPr>
      </w:pPr>
      <w:r w:rsidRPr="008C2F9C">
        <w:rPr>
          <w:rFonts w:ascii="Times New Roman" w:hAnsi="Times New Roman" w:cs="Times New Roman"/>
          <w:b/>
          <w:bCs/>
          <w:sz w:val="22"/>
          <w:szCs w:val="22"/>
        </w:rPr>
        <w:t>Artículo 2: Hacia la gamificación de la tecnología de apoyo para profesionales con discapacidades severas</w:t>
      </w:r>
    </w:p>
    <w:p w14:paraId="7C253C69" w14:textId="43FE50F1"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lastRenderedPageBreak/>
        <w:t xml:space="preserve">El </w:t>
      </w:r>
      <w:r w:rsidR="001E2E0E">
        <w:rPr>
          <w:rFonts w:ascii="Times New Roman" w:hAnsi="Times New Roman" w:cs="Times New Roman"/>
          <w:sz w:val="22"/>
          <w:szCs w:val="22"/>
        </w:rPr>
        <w:t>articulo</w:t>
      </w:r>
      <w:r w:rsidRPr="008C2F9C">
        <w:rPr>
          <w:rFonts w:ascii="Times New Roman" w:hAnsi="Times New Roman" w:cs="Times New Roman"/>
          <w:sz w:val="22"/>
          <w:szCs w:val="22"/>
        </w:rPr>
        <w:t xml:space="preserve"> examina cómo seis profesionales con discapacidad severa utilizan tecnología de apoyo en su trabajo diario. Aunque estos profesionales logran ser productivos gracias a la tecnología, el estudio revela que no todo es positivo y que existen varios efectos negativos asociados al uso de estas herramientas.</w:t>
      </w:r>
    </w:p>
    <w:p w14:paraId="3B8B7F48"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Uno de los hallazgos más importantes es que, aunque la tecnología les permite trabajar, no necesariamente mejora su rendimiento laboral tanto como sería deseable. Es decir, pueden hacer su trabajo, pero no al nivel óptimo que podrían alcanzar. Además, existe una brecha en cuanto a las competencias digitales. Las personas con discapacidad severa muchas veces tienen menos oportunidades para desarrollar habilidades tecnológicas, lo que limita su capacidad de aprovechar plenamente las herramientas disponibles.</w:t>
      </w:r>
    </w:p>
    <w:p w14:paraId="719EBFCD"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Otro efecto negativo es la dependencia que se crea, tanto de la tecnología misma como de la asistencia humana. Usar tecnología de apoyo puede requerir adaptaciones complicadas o ayuda de otras personas, lo que aumenta el esfuerzo necesario para realizar tareas que otras personas hacen de forma más directa. Esta situación puede generar frustración y, paradójicamente, reducir la autonomía que se supone la tecnología debería proporcionar. También está el tema de la motivación: cuando la tecnología no se siente ergonómica o alineada con las necesidades reales del usuario, puede haber una falta de conexión emocional con ella, lo que afecta la sensación de control e inclusión.</w:t>
      </w:r>
    </w:p>
    <w:p w14:paraId="723102B9"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Las líneas de trabajo futuro que propone el artículo me parecen muy relevantes. La primera es incorporar elementos de gamificación en la tecnología de apoyo. Esto es importante porque la gamificación puede hacer que las personas se sientan más motivadas a usar la tecnología de forma constante, lo cual es fundamental para que realmente tenga un impacto en sus vidas. Si la tecnología está disponible pero no se usa porque resulta aburrida o poco atractiva, entonces no cumple su función.</w:t>
      </w:r>
    </w:p>
    <w:p w14:paraId="5D4258BC"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 xml:space="preserve">La segunda línea propone mejorar los modos de interacción, diseñando interfaces alternativas que se adapten específicamente a las capacidades de cada usuario, como sensores que no dependan solo del teclado o el </w:t>
      </w:r>
      <w:proofErr w:type="gramStart"/>
      <w:r w:rsidRPr="008C2F9C">
        <w:rPr>
          <w:rFonts w:ascii="Times New Roman" w:hAnsi="Times New Roman" w:cs="Times New Roman"/>
          <w:sz w:val="22"/>
          <w:szCs w:val="22"/>
        </w:rPr>
        <w:t>mouse</w:t>
      </w:r>
      <w:proofErr w:type="gramEnd"/>
      <w:r w:rsidRPr="008C2F9C">
        <w:rPr>
          <w:rFonts w:ascii="Times New Roman" w:hAnsi="Times New Roman" w:cs="Times New Roman"/>
          <w:sz w:val="22"/>
          <w:szCs w:val="22"/>
        </w:rPr>
        <w:t>. Esto me parece crucial porque la verdadera inclusión significa que la tecnología debe ajustarse a las personas, no al revés. Si logramos interfaces más amigables y menos dependientes de asistencia externa, estaríamos dando un paso enorme hacia la autonomía real.</w:t>
      </w:r>
    </w:p>
    <w:p w14:paraId="555302EE"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La tercera línea busca evaluar no solo la productividad sino también la calidad de vida, la autonomía y la satisfacción del usuario. Creo que esto es fundamental porque tendemos a medir el éxito solo en términos de cuánto trabajo se produce, pero la inclusión va mucho más allá. Se trata de que las personas se sientan empoderadas, incluidas socialmente y satisfechas con su vida. Finalmente, el artículo propone hacer más estudios de campo que profundicen en las experiencias reales de estos profesionales. Esto es importante porque las investigaciones en entornos controlados no siempre capturan las barreras y desafíos que aparecen en la vida cotidiana.</w:t>
      </w:r>
    </w:p>
    <w:p w14:paraId="2A081C6F" w14:textId="77777777" w:rsidR="008C2F9C" w:rsidRPr="008C2F9C" w:rsidRDefault="008C2F9C" w:rsidP="008C2F9C">
      <w:pPr>
        <w:jc w:val="both"/>
        <w:rPr>
          <w:rFonts w:ascii="Times New Roman" w:hAnsi="Times New Roman" w:cs="Times New Roman"/>
          <w:b/>
          <w:bCs/>
          <w:sz w:val="22"/>
          <w:szCs w:val="22"/>
        </w:rPr>
      </w:pPr>
      <w:r w:rsidRPr="008C2F9C">
        <w:rPr>
          <w:rFonts w:ascii="Times New Roman" w:hAnsi="Times New Roman" w:cs="Times New Roman"/>
          <w:b/>
          <w:bCs/>
          <w:sz w:val="22"/>
          <w:szCs w:val="22"/>
        </w:rPr>
        <w:t>Artículo 3: Realidades extendidas para niños con diversidad sensorial</w:t>
      </w:r>
    </w:p>
    <w:p w14:paraId="1437A5FE"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 xml:space="preserve">El artículo de Restrepo y sus colaboradores presenta un proyecto muy interesante que combina realidades extendidas con narrativas para ayudar a niños con diversidad sensorial del Instituto Para Niños Ciegos y Sordos del Valle del Cauca a comprender </w:t>
      </w:r>
      <w:proofErr w:type="gramStart"/>
      <w:r w:rsidRPr="008C2F9C">
        <w:rPr>
          <w:rFonts w:ascii="Times New Roman" w:hAnsi="Times New Roman" w:cs="Times New Roman"/>
          <w:sz w:val="22"/>
          <w:szCs w:val="22"/>
        </w:rPr>
        <w:t>mejor temas</w:t>
      </w:r>
      <w:proofErr w:type="gramEnd"/>
      <w:r w:rsidRPr="008C2F9C">
        <w:rPr>
          <w:rFonts w:ascii="Times New Roman" w:hAnsi="Times New Roman" w:cs="Times New Roman"/>
          <w:sz w:val="22"/>
          <w:szCs w:val="22"/>
        </w:rPr>
        <w:t xml:space="preserve"> como los </w:t>
      </w:r>
      <w:r w:rsidRPr="008C2F9C">
        <w:rPr>
          <w:rFonts w:ascii="Times New Roman" w:hAnsi="Times New Roman" w:cs="Times New Roman"/>
          <w:sz w:val="22"/>
          <w:szCs w:val="22"/>
        </w:rPr>
        <w:lastRenderedPageBreak/>
        <w:t>animales colombianos en peligro de extinción. Lo que hace especial este trabajo es que integra múltiples tipos de estímulos sensoriales: hápticos, táctiles, kinestésicos e incluso olfativos.</w:t>
      </w:r>
    </w:p>
    <w:p w14:paraId="35E7C8AE"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La evidencia que presenta el artículo para creer que estas aplicaciones pueden favorecer el desarrollo de los niños es bastante convincente. Primero, mencionan que el espacio de aprendizaje pasó de ser tradicional a interactivo y multisensorial. Esto es importante porque abre nuevos canales de interacción más allá de lo visual o auditivo, lo cual es fundamental para niños que tienen limitaciones en alguno de estos sentidos. Al poder interactuar de múltiples formas, cada niño puede encontrar la manera que mejor se ajuste a sus capacidades.</w:t>
      </w:r>
    </w:p>
    <w:p w14:paraId="180A9906"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Segundo, el diseño de estas experiencias se hizo de forma colaborativa entre expertos en tecnología, especialistas en educación especial y los propios niños. Esto es clave porque garantiza que las soluciones no se diseñan en una oficina alejada de la realidad, sino que responden a las necesidades, contextos y preferencias reales de los usuarios. Cuando los propios afectados participan en el diseño, las posibilidades de éxito aumentan considerablemente.</w:t>
      </w:r>
    </w:p>
    <w:p w14:paraId="699D3E8A"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Además, el artículo menciona que estas experiencias multisensoriales fueron bien recibidas y tienen el potencial de motivar y desarrollar habilidades en los niños. Aunque parece que el proyecto está todavía en fases de desarrollo y no presenta resultados cuantitativos extensos, la respuesta positiva inicial es una señal prometedora. Finalmente, el uso de narrativas junto con las tecnologías XR permite que los niños comprendan conceptos complejos de forma más intuitiva e inmersiva, adaptándose a su forma particular de percibir el mundo.</w:t>
      </w:r>
    </w:p>
    <w:p w14:paraId="50751949"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En cuanto a qué tipo de experiencia sería mejor para esta población, creo que la realidad mixta sería la opción más adecuada. La realidad virtual tiene la ventaja de ser muy inmersiva, pero también aísla completamente al niño de su entorno físico, lo cual podría ser problemático para quienes necesitan apoyo directo o supervisión constante. Por otro lado, la realidad aumentada permite seguir interactuando con el espacio físico mientras se agregan elementos digitales, lo cual facilita la integración sensorial y motora.</w:t>
      </w:r>
    </w:p>
    <w:p w14:paraId="3757E79A" w14:textId="77777777" w:rsidR="008C2F9C" w:rsidRPr="008C2F9C"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La realidad mixta combina lo mejor de ambos mundos. Permite que los niños interactúen tanto con objetos reales como digitales, manteniendo una conexión con el mundo tangible que puede ser crucial para su aprendizaje. Esto es especialmente importante cuando pensamos en estímulos como el tacto, el movimiento y la interacción física, que son fundamentales para niños con diversidad sensorial. Además, una experiencia mixta ofrece mayor flexibilidad para adaptar los componentes según las necesidades específicas de cada niño: se pueden aumentar los estímulos táctiles o auditivos, o reducir los visuales si el niño tiene baja visión.</w:t>
      </w:r>
    </w:p>
    <w:p w14:paraId="733DA67C" w14:textId="32EEEE1F" w:rsidR="001B4DCF" w:rsidRDefault="008C2F9C" w:rsidP="008C2F9C">
      <w:pPr>
        <w:ind w:firstLine="708"/>
        <w:jc w:val="both"/>
        <w:rPr>
          <w:rFonts w:ascii="Times New Roman" w:hAnsi="Times New Roman" w:cs="Times New Roman"/>
          <w:sz w:val="22"/>
          <w:szCs w:val="22"/>
        </w:rPr>
      </w:pPr>
      <w:r w:rsidRPr="008C2F9C">
        <w:rPr>
          <w:rFonts w:ascii="Times New Roman" w:hAnsi="Times New Roman" w:cs="Times New Roman"/>
          <w:sz w:val="22"/>
          <w:szCs w:val="22"/>
        </w:rPr>
        <w:t xml:space="preserve">El artículo menciona la integración de </w:t>
      </w:r>
      <w:proofErr w:type="spellStart"/>
      <w:r w:rsidRPr="008C2F9C">
        <w:rPr>
          <w:rFonts w:ascii="Times New Roman" w:hAnsi="Times New Roman" w:cs="Times New Roman"/>
          <w:sz w:val="22"/>
          <w:szCs w:val="22"/>
        </w:rPr>
        <w:t>feedback</w:t>
      </w:r>
      <w:proofErr w:type="spellEnd"/>
      <w:r w:rsidRPr="008C2F9C">
        <w:rPr>
          <w:rFonts w:ascii="Times New Roman" w:hAnsi="Times New Roman" w:cs="Times New Roman"/>
          <w:sz w:val="22"/>
          <w:szCs w:val="22"/>
        </w:rPr>
        <w:t xml:space="preserve"> háptico, táctil, kinestésico y olfativo, y todos estos elementos se aprovechan mejor en una experiencia que no esté completamente aislada del entorno real. Por estas razones, recomendaría priorizar una experiencia de realidad mixta, con elementos de realidad aumentada que incorporen lo real y lo digital, y cuando sea útil, incluir segmentos de realidad virtual más inmersivos, pero siempre manteniendo opciones de accesibilidad sensorial. Esta aproximación maximiza la interacción, la inclusión y la adaptabilidad que estos niños necesitan para su desarrollo.</w:t>
      </w:r>
    </w:p>
    <w:p w14:paraId="2EFFC23E" w14:textId="77777777" w:rsidR="00ED3F56" w:rsidRDefault="00ED3F56" w:rsidP="00ED3F56">
      <w:pPr>
        <w:jc w:val="both"/>
        <w:rPr>
          <w:rFonts w:ascii="Times New Roman" w:hAnsi="Times New Roman" w:cs="Times New Roman"/>
          <w:b/>
          <w:bCs/>
          <w:sz w:val="22"/>
          <w:szCs w:val="22"/>
        </w:rPr>
      </w:pPr>
    </w:p>
    <w:p w14:paraId="78D1E2B6" w14:textId="639D923B" w:rsidR="00ED3F56" w:rsidRPr="00ED3F56" w:rsidRDefault="00ED3F56" w:rsidP="00ED3F56">
      <w:pPr>
        <w:jc w:val="both"/>
        <w:rPr>
          <w:rFonts w:ascii="Times New Roman" w:hAnsi="Times New Roman" w:cs="Times New Roman"/>
          <w:b/>
          <w:bCs/>
          <w:sz w:val="22"/>
          <w:szCs w:val="22"/>
        </w:rPr>
      </w:pPr>
      <w:r w:rsidRPr="00ED3F56">
        <w:rPr>
          <w:rFonts w:ascii="Times New Roman" w:hAnsi="Times New Roman" w:cs="Times New Roman"/>
          <w:b/>
          <w:bCs/>
          <w:sz w:val="22"/>
          <w:szCs w:val="22"/>
        </w:rPr>
        <w:lastRenderedPageBreak/>
        <w:t>Referencias</w:t>
      </w:r>
    </w:p>
    <w:p w14:paraId="26F35B44" w14:textId="77777777" w:rsidR="00ED3F56" w:rsidRPr="00ED3F56" w:rsidRDefault="00ED3F56" w:rsidP="00ED3F56">
      <w:pPr>
        <w:jc w:val="both"/>
        <w:rPr>
          <w:rFonts w:ascii="Times New Roman" w:hAnsi="Times New Roman" w:cs="Times New Roman"/>
          <w:sz w:val="22"/>
          <w:szCs w:val="22"/>
          <w:lang w:val="en-US"/>
        </w:rPr>
      </w:pPr>
      <w:r w:rsidRPr="00ED3F56">
        <w:rPr>
          <w:rFonts w:ascii="Times New Roman" w:hAnsi="Times New Roman" w:cs="Times New Roman"/>
          <w:sz w:val="22"/>
          <w:szCs w:val="22"/>
        </w:rPr>
        <w:t xml:space="preserve">Contreras, V. E., Gómez, G., &amp; Navarro-Newball, A. A. (2019). </w:t>
      </w:r>
      <w:r w:rsidRPr="00ED3F56">
        <w:rPr>
          <w:rFonts w:ascii="Times New Roman" w:hAnsi="Times New Roman" w:cs="Times New Roman"/>
          <w:sz w:val="22"/>
          <w:szCs w:val="22"/>
          <w:lang w:val="en-US"/>
        </w:rPr>
        <w:t xml:space="preserve">Towards the gamification of assistive technology for professionals with severe impairments. En </w:t>
      </w:r>
      <w:r w:rsidRPr="00ED3F56">
        <w:rPr>
          <w:rFonts w:ascii="Times New Roman" w:hAnsi="Times New Roman" w:cs="Times New Roman"/>
          <w:i/>
          <w:iCs/>
          <w:sz w:val="22"/>
          <w:szCs w:val="22"/>
          <w:lang w:val="en-US"/>
        </w:rPr>
        <w:t>2019 International Conference on Virtual Reality and Visualization (ICVRV)</w:t>
      </w:r>
      <w:r w:rsidRPr="00ED3F56">
        <w:rPr>
          <w:rFonts w:ascii="Times New Roman" w:hAnsi="Times New Roman" w:cs="Times New Roman"/>
          <w:sz w:val="22"/>
          <w:szCs w:val="22"/>
          <w:lang w:val="en-US"/>
        </w:rPr>
        <w:t xml:space="preserve"> (pp. 176-179). IEEE. </w:t>
      </w:r>
      <w:hyperlink r:id="rId4" w:history="1">
        <w:r w:rsidRPr="00ED3F56">
          <w:rPr>
            <w:rStyle w:val="Hipervnculo"/>
            <w:rFonts w:ascii="Times New Roman" w:hAnsi="Times New Roman" w:cs="Times New Roman"/>
            <w:sz w:val="22"/>
            <w:szCs w:val="22"/>
            <w:lang w:val="en-US"/>
          </w:rPr>
          <w:t>https://doi.org/10.1109/ICVRV47840.2019.00041</w:t>
        </w:r>
      </w:hyperlink>
    </w:p>
    <w:p w14:paraId="6100F43A" w14:textId="77777777" w:rsidR="00ED3F56" w:rsidRPr="00ED3F56" w:rsidRDefault="00ED3F56" w:rsidP="00ED3F56">
      <w:pPr>
        <w:jc w:val="both"/>
        <w:rPr>
          <w:rFonts w:ascii="Times New Roman" w:hAnsi="Times New Roman" w:cs="Times New Roman"/>
          <w:sz w:val="22"/>
          <w:szCs w:val="22"/>
        </w:rPr>
      </w:pPr>
      <w:r w:rsidRPr="00ED3F56">
        <w:rPr>
          <w:rFonts w:ascii="Times New Roman" w:hAnsi="Times New Roman" w:cs="Times New Roman"/>
          <w:sz w:val="22"/>
          <w:szCs w:val="22"/>
          <w:lang w:val="en-US"/>
        </w:rPr>
        <w:t xml:space="preserve">Navarro Newball, A. A., &amp; Moreno Sánchez, I. (2015). </w:t>
      </w:r>
      <w:r w:rsidRPr="00ED3F56">
        <w:rPr>
          <w:rFonts w:ascii="Times New Roman" w:hAnsi="Times New Roman" w:cs="Times New Roman"/>
          <w:sz w:val="22"/>
          <w:szCs w:val="22"/>
        </w:rPr>
        <w:t xml:space="preserve">Redefinición de las TIC en el museo: del discurso invasivo al inclusivo. </w:t>
      </w:r>
      <w:proofErr w:type="spellStart"/>
      <w:r w:rsidRPr="00ED3F56">
        <w:rPr>
          <w:rFonts w:ascii="Times New Roman" w:hAnsi="Times New Roman" w:cs="Times New Roman"/>
          <w:i/>
          <w:iCs/>
          <w:sz w:val="22"/>
          <w:szCs w:val="22"/>
        </w:rPr>
        <w:t>Complutum</w:t>
      </w:r>
      <w:proofErr w:type="spellEnd"/>
      <w:r w:rsidRPr="00ED3F56">
        <w:rPr>
          <w:rFonts w:ascii="Times New Roman" w:hAnsi="Times New Roman" w:cs="Times New Roman"/>
          <w:sz w:val="22"/>
          <w:szCs w:val="22"/>
        </w:rPr>
        <w:t xml:space="preserve">, </w:t>
      </w:r>
      <w:r w:rsidRPr="00ED3F56">
        <w:rPr>
          <w:rFonts w:ascii="Times New Roman" w:hAnsi="Times New Roman" w:cs="Times New Roman"/>
          <w:i/>
          <w:iCs/>
          <w:sz w:val="22"/>
          <w:szCs w:val="22"/>
        </w:rPr>
        <w:t>26</w:t>
      </w:r>
      <w:r w:rsidRPr="00ED3F56">
        <w:rPr>
          <w:rFonts w:ascii="Times New Roman" w:hAnsi="Times New Roman" w:cs="Times New Roman"/>
          <w:sz w:val="22"/>
          <w:szCs w:val="22"/>
        </w:rPr>
        <w:t xml:space="preserve">(2), 219-228. </w:t>
      </w:r>
      <w:hyperlink r:id="rId5" w:history="1">
        <w:r w:rsidRPr="00ED3F56">
          <w:rPr>
            <w:rStyle w:val="Hipervnculo"/>
            <w:rFonts w:ascii="Times New Roman" w:hAnsi="Times New Roman" w:cs="Times New Roman"/>
            <w:sz w:val="22"/>
            <w:szCs w:val="22"/>
          </w:rPr>
          <w:t>https://doi.org/10.5209/rev_CMPL.2015.v26.n2.50424</w:t>
        </w:r>
      </w:hyperlink>
    </w:p>
    <w:p w14:paraId="10483C77" w14:textId="1CAAE846" w:rsidR="00ED3F56" w:rsidRPr="00ED3F56" w:rsidRDefault="00ED3F56" w:rsidP="00ED3F56">
      <w:pPr>
        <w:jc w:val="both"/>
        <w:rPr>
          <w:rFonts w:ascii="Times New Roman" w:hAnsi="Times New Roman" w:cs="Times New Roman"/>
          <w:sz w:val="22"/>
          <w:szCs w:val="22"/>
        </w:rPr>
      </w:pPr>
      <w:r w:rsidRPr="00ED3F56">
        <w:rPr>
          <w:rFonts w:ascii="Times New Roman" w:hAnsi="Times New Roman" w:cs="Times New Roman"/>
          <w:sz w:val="22"/>
          <w:szCs w:val="22"/>
        </w:rPr>
        <w:t xml:space="preserve">Restrepo, G., Navarro-Newball, A. A., Martínez, D., Arango, F., Martínez, S., &amp; Arteaga, J. M. (2024). </w:t>
      </w:r>
      <w:r w:rsidRPr="00ED3F56">
        <w:rPr>
          <w:rFonts w:ascii="Times New Roman" w:hAnsi="Times New Roman" w:cs="Times New Roman"/>
          <w:sz w:val="22"/>
          <w:szCs w:val="22"/>
          <w:lang w:val="en-US"/>
        </w:rPr>
        <w:t xml:space="preserve">Extended realities for sensorially diverse children. </w:t>
      </w:r>
      <w:r w:rsidRPr="00ED3F56">
        <w:rPr>
          <w:rFonts w:ascii="Times New Roman" w:hAnsi="Times New Roman" w:cs="Times New Roman"/>
          <w:i/>
          <w:iCs/>
          <w:sz w:val="22"/>
          <w:szCs w:val="22"/>
          <w:lang w:val="en-US"/>
        </w:rPr>
        <w:t>IEEE Computer Graphics and Applications</w:t>
      </w:r>
      <w:r w:rsidRPr="00ED3F56">
        <w:rPr>
          <w:rFonts w:ascii="Times New Roman" w:hAnsi="Times New Roman" w:cs="Times New Roman"/>
          <w:sz w:val="22"/>
          <w:szCs w:val="22"/>
          <w:lang w:val="en-US"/>
        </w:rPr>
        <w:t xml:space="preserve">, </w:t>
      </w:r>
      <w:r w:rsidRPr="00ED3F56">
        <w:rPr>
          <w:rFonts w:ascii="Times New Roman" w:hAnsi="Times New Roman" w:cs="Times New Roman"/>
          <w:i/>
          <w:iCs/>
          <w:sz w:val="22"/>
          <w:szCs w:val="22"/>
          <w:lang w:val="en-US"/>
        </w:rPr>
        <w:t>44</w:t>
      </w:r>
      <w:r w:rsidRPr="00ED3F56">
        <w:rPr>
          <w:rFonts w:ascii="Times New Roman" w:hAnsi="Times New Roman" w:cs="Times New Roman"/>
          <w:sz w:val="22"/>
          <w:szCs w:val="22"/>
          <w:lang w:val="en-US"/>
        </w:rPr>
        <w:t xml:space="preserve">(4), 94-101. </w:t>
      </w:r>
      <w:hyperlink r:id="rId6" w:history="1">
        <w:r w:rsidRPr="00ED3F56">
          <w:rPr>
            <w:rStyle w:val="Hipervnculo"/>
            <w:rFonts w:ascii="Times New Roman" w:hAnsi="Times New Roman" w:cs="Times New Roman"/>
            <w:sz w:val="22"/>
            <w:szCs w:val="22"/>
          </w:rPr>
          <w:t>https://doi.org/10.1109/MCG.2024.3419699</w:t>
        </w:r>
      </w:hyperlink>
    </w:p>
    <w:p w14:paraId="3E444E6A" w14:textId="1720A01B" w:rsidR="00ED3F56" w:rsidRPr="00ED3F56" w:rsidRDefault="00ED3F56" w:rsidP="00ED3F56">
      <w:pPr>
        <w:jc w:val="both"/>
        <w:rPr>
          <w:rFonts w:ascii="Times New Roman" w:hAnsi="Times New Roman" w:cs="Times New Roman"/>
          <w:sz w:val="22"/>
          <w:szCs w:val="22"/>
        </w:rPr>
      </w:pPr>
      <w:r w:rsidRPr="00ED3F56">
        <w:rPr>
          <w:rFonts w:ascii="Times New Roman" w:hAnsi="Times New Roman" w:cs="Times New Roman"/>
          <w:b/>
          <w:bCs/>
          <w:sz w:val="22"/>
          <w:szCs w:val="22"/>
        </w:rPr>
        <w:t>Nota</w:t>
      </w:r>
      <w:r>
        <w:rPr>
          <w:rFonts w:ascii="Times New Roman" w:hAnsi="Times New Roman" w:cs="Times New Roman"/>
          <w:b/>
          <w:bCs/>
          <w:sz w:val="22"/>
          <w:szCs w:val="22"/>
        </w:rPr>
        <w:t>:</w:t>
      </w:r>
      <w:r>
        <w:rPr>
          <w:rFonts w:ascii="Times New Roman" w:hAnsi="Times New Roman" w:cs="Times New Roman"/>
          <w:sz w:val="22"/>
          <w:szCs w:val="22"/>
        </w:rPr>
        <w:t xml:space="preserve"> </w:t>
      </w:r>
      <w:r w:rsidRPr="00ED3F56">
        <w:rPr>
          <w:rFonts w:ascii="Times New Roman" w:hAnsi="Times New Roman" w:cs="Times New Roman"/>
          <w:sz w:val="22"/>
          <w:szCs w:val="22"/>
        </w:rPr>
        <w:t>Para la corrección gramatical y la elaboración de las referencias en formato APA se utilizó la herramienta de inteligencia artificial conversacional Claude (</w:t>
      </w:r>
      <w:proofErr w:type="spellStart"/>
      <w:r w:rsidRPr="00ED3F56">
        <w:rPr>
          <w:rFonts w:ascii="Times New Roman" w:hAnsi="Times New Roman" w:cs="Times New Roman"/>
          <w:sz w:val="22"/>
          <w:szCs w:val="22"/>
        </w:rPr>
        <w:t>Anthropic</w:t>
      </w:r>
      <w:proofErr w:type="spellEnd"/>
      <w:r w:rsidRPr="00ED3F56">
        <w:rPr>
          <w:rFonts w:ascii="Times New Roman" w:hAnsi="Times New Roman" w:cs="Times New Roman"/>
          <w:sz w:val="22"/>
          <w:szCs w:val="22"/>
        </w:rPr>
        <w:t>, 2024).</w:t>
      </w:r>
    </w:p>
    <w:p w14:paraId="0894C38B" w14:textId="77777777" w:rsidR="00ED3F56" w:rsidRPr="008C2F9C" w:rsidRDefault="00ED3F56" w:rsidP="00ED3F56">
      <w:pPr>
        <w:jc w:val="both"/>
        <w:rPr>
          <w:rFonts w:ascii="Times New Roman" w:hAnsi="Times New Roman" w:cs="Times New Roman"/>
          <w:sz w:val="22"/>
          <w:szCs w:val="22"/>
        </w:rPr>
      </w:pPr>
    </w:p>
    <w:sectPr w:rsidR="00ED3F56" w:rsidRPr="008C2F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9C"/>
    <w:rsid w:val="001B4DCF"/>
    <w:rsid w:val="001E2E0E"/>
    <w:rsid w:val="002A6DFB"/>
    <w:rsid w:val="006A0EFA"/>
    <w:rsid w:val="008C2F9C"/>
    <w:rsid w:val="00ED3F56"/>
    <w:rsid w:val="00F24AFC"/>
    <w:rsid w:val="00F467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3981"/>
  <w15:chartTrackingRefBased/>
  <w15:docId w15:val="{90A0643F-2E5B-4999-A9FF-0F23F3C1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F9C"/>
  </w:style>
  <w:style w:type="paragraph" w:styleId="Ttulo1">
    <w:name w:val="heading 1"/>
    <w:basedOn w:val="Normal"/>
    <w:next w:val="Normal"/>
    <w:link w:val="Ttulo1Car"/>
    <w:uiPriority w:val="9"/>
    <w:qFormat/>
    <w:rsid w:val="008C2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2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2F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2F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2F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2F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2F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2F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2F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2F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2F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2F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2F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F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F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F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F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F9C"/>
    <w:rPr>
      <w:rFonts w:eastAsiaTheme="majorEastAsia" w:cstheme="majorBidi"/>
      <w:color w:val="272727" w:themeColor="text1" w:themeTint="D8"/>
    </w:rPr>
  </w:style>
  <w:style w:type="paragraph" w:styleId="Ttulo">
    <w:name w:val="Title"/>
    <w:basedOn w:val="Normal"/>
    <w:next w:val="Normal"/>
    <w:link w:val="TtuloCar"/>
    <w:uiPriority w:val="10"/>
    <w:qFormat/>
    <w:rsid w:val="008C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F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2F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F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F9C"/>
    <w:pPr>
      <w:spacing w:before="160"/>
      <w:jc w:val="center"/>
    </w:pPr>
    <w:rPr>
      <w:i/>
      <w:iCs/>
      <w:color w:val="404040" w:themeColor="text1" w:themeTint="BF"/>
    </w:rPr>
  </w:style>
  <w:style w:type="character" w:customStyle="1" w:styleId="CitaCar">
    <w:name w:val="Cita Car"/>
    <w:basedOn w:val="Fuentedeprrafopredeter"/>
    <w:link w:val="Cita"/>
    <w:uiPriority w:val="29"/>
    <w:rsid w:val="008C2F9C"/>
    <w:rPr>
      <w:i/>
      <w:iCs/>
      <w:color w:val="404040" w:themeColor="text1" w:themeTint="BF"/>
    </w:rPr>
  </w:style>
  <w:style w:type="paragraph" w:styleId="Prrafodelista">
    <w:name w:val="List Paragraph"/>
    <w:basedOn w:val="Normal"/>
    <w:uiPriority w:val="34"/>
    <w:qFormat/>
    <w:rsid w:val="008C2F9C"/>
    <w:pPr>
      <w:ind w:left="720"/>
      <w:contextualSpacing/>
    </w:pPr>
  </w:style>
  <w:style w:type="character" w:styleId="nfasisintenso">
    <w:name w:val="Intense Emphasis"/>
    <w:basedOn w:val="Fuentedeprrafopredeter"/>
    <w:uiPriority w:val="21"/>
    <w:qFormat/>
    <w:rsid w:val="008C2F9C"/>
    <w:rPr>
      <w:i/>
      <w:iCs/>
      <w:color w:val="0F4761" w:themeColor="accent1" w:themeShade="BF"/>
    </w:rPr>
  </w:style>
  <w:style w:type="paragraph" w:styleId="Citadestacada">
    <w:name w:val="Intense Quote"/>
    <w:basedOn w:val="Normal"/>
    <w:next w:val="Normal"/>
    <w:link w:val="CitadestacadaCar"/>
    <w:uiPriority w:val="30"/>
    <w:qFormat/>
    <w:rsid w:val="008C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F9C"/>
    <w:rPr>
      <w:i/>
      <w:iCs/>
      <w:color w:val="0F4761" w:themeColor="accent1" w:themeShade="BF"/>
    </w:rPr>
  </w:style>
  <w:style w:type="character" w:styleId="Referenciaintensa">
    <w:name w:val="Intense Reference"/>
    <w:basedOn w:val="Fuentedeprrafopredeter"/>
    <w:uiPriority w:val="32"/>
    <w:qFormat/>
    <w:rsid w:val="008C2F9C"/>
    <w:rPr>
      <w:b/>
      <w:bCs/>
      <w:smallCaps/>
      <w:color w:val="0F4761" w:themeColor="accent1" w:themeShade="BF"/>
      <w:spacing w:val="5"/>
    </w:rPr>
  </w:style>
  <w:style w:type="character" w:styleId="Hipervnculo">
    <w:name w:val="Hyperlink"/>
    <w:basedOn w:val="Fuentedeprrafopredeter"/>
    <w:uiPriority w:val="99"/>
    <w:unhideWhenUsed/>
    <w:rsid w:val="00ED3F56"/>
    <w:rPr>
      <w:color w:val="467886" w:themeColor="hyperlink"/>
      <w:u w:val="single"/>
    </w:rPr>
  </w:style>
  <w:style w:type="character" w:styleId="Mencinsinresolver">
    <w:name w:val="Unresolved Mention"/>
    <w:basedOn w:val="Fuentedeprrafopredeter"/>
    <w:uiPriority w:val="99"/>
    <w:semiHidden/>
    <w:unhideWhenUsed/>
    <w:rsid w:val="00ED3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MCG.2024.3419699" TargetMode="External"/><Relationship Id="rId5" Type="http://schemas.openxmlformats.org/officeDocument/2006/relationships/hyperlink" Target="https://doi.org/10.5209/rev_CMPL.2015.v26.n2.50424" TargetMode="External"/><Relationship Id="rId4" Type="http://schemas.openxmlformats.org/officeDocument/2006/relationships/hyperlink" Target="https://doi.org/10.1109/ICVRV47840.2019.000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1764</Words>
  <Characters>9706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Pulgarín</dc:creator>
  <cp:keywords/>
  <dc:description/>
  <cp:lastModifiedBy>sebastián Pulgarín</cp:lastModifiedBy>
  <cp:revision>1</cp:revision>
  <dcterms:created xsi:type="dcterms:W3CDTF">2025-10-25T16:22:00Z</dcterms:created>
  <dcterms:modified xsi:type="dcterms:W3CDTF">2025-10-25T16:46:00Z</dcterms:modified>
</cp:coreProperties>
</file>