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2343" w:rsidRDefault="008C3710" w:rsidP="00180585">
      <w:pPr>
        <w:rPr>
          <w:u w:val="single"/>
        </w:rPr>
      </w:pPr>
      <w:r w:rsidRPr="008C3710">
        <w:rPr>
          <w:u w:val="single"/>
        </w:rPr>
        <w:t>Linear Product</w:t>
      </w:r>
    </w:p>
    <w:p w:rsidR="008C3710" w:rsidRDefault="008C3710" w:rsidP="00180585">
      <w:pPr>
        <w:rPr>
          <w:u w:val="single"/>
        </w:rPr>
      </w:pPr>
    </w:p>
    <w:p w:rsidR="008C3710" w:rsidRPr="008C3710" w:rsidRDefault="008C3710" w:rsidP="00180585">
      <w:r>
        <w:t xml:space="preserve">The Linear Product is based on a foodbank, and how foodbanks help people. </w:t>
      </w:r>
      <w:proofErr w:type="gramStart"/>
      <w:r>
        <w:t>It’s</w:t>
      </w:r>
      <w:proofErr w:type="gramEnd"/>
      <w:r>
        <w:t xml:space="preserve"> focus is on the </w:t>
      </w:r>
      <w:proofErr w:type="spellStart"/>
      <w:r>
        <w:t>Trussel’s</w:t>
      </w:r>
      <w:proofErr w:type="spellEnd"/>
      <w:r>
        <w:t xml:space="preserve"> Trust Foodbank. A foodbanks goal isn’t to make money, but they do require funding to operate, purchase food, and provide warehouses. </w:t>
      </w:r>
      <w:bookmarkStart w:id="0" w:name="_GoBack"/>
      <w:bookmarkEnd w:id="0"/>
      <w:r>
        <w:t xml:space="preserve"> </w:t>
      </w:r>
    </w:p>
    <w:sectPr w:rsidR="008C3710" w:rsidRPr="008C3710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10"/>
    <w:rsid w:val="00180585"/>
    <w:rsid w:val="00323B31"/>
    <w:rsid w:val="008A2343"/>
    <w:rsid w:val="008C3710"/>
    <w:rsid w:val="00C57098"/>
    <w:rsid w:val="00CB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ACF7"/>
  <w15:chartTrackingRefBased/>
  <w15:docId w15:val="{57890DE2-BF87-46C9-8F78-376AF138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1</cp:revision>
  <dcterms:created xsi:type="dcterms:W3CDTF">2022-02-10T09:42:00Z</dcterms:created>
  <dcterms:modified xsi:type="dcterms:W3CDTF">2022-02-10T10:22:00Z</dcterms:modified>
</cp:coreProperties>
</file>