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BA252A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 (15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TLD – TMX 450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5134179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5134159-101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1015073-P4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9F3BFA" w:rsidRPr="00910D17" w:rsidTr="009F2FF5">
        <w:trPr>
          <w:trHeight w:val="277"/>
        </w:trPr>
        <w:tc>
          <w:tcPr>
            <w:tcW w:w="4107" w:type="dxa"/>
          </w:tcPr>
          <w:p w:rsidR="009F3BFA" w:rsidRDefault="009F3B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9F3BFA" w:rsidRDefault="009F3B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F3BFA" w:rsidRDefault="009F3BFA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5033408-015</w:t>
            </w:r>
          </w:p>
        </w:tc>
        <w:tc>
          <w:tcPr>
            <w:tcW w:w="1701" w:type="dxa"/>
          </w:tcPr>
          <w:p w:rsidR="009F3BFA" w:rsidRDefault="00E41C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DZ4291642</w:t>
            </w:r>
            <w:bookmarkStart w:id="0" w:name="_GoBack"/>
            <w:bookmarkEnd w:id="0"/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A25D6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5033408-014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FC748B" w:rsidRDefault="00FC748B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FC748B" w:rsidRDefault="00FC748B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FC748B" w:rsidRDefault="00FC748B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BF71F3" w:rsidRDefault="00BF71F3" w:rsidP="00BF71F3">
      <w:pPr>
        <w:spacing w:after="0" w:line="240" w:lineRule="auto"/>
      </w:pPr>
    </w:p>
    <w:p w:rsidR="0036414E" w:rsidRPr="00910D17" w:rsidRDefault="0036414E" w:rsidP="00BF71F3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BA252A">
        <w:rPr>
          <w:rFonts w:cs="Arial"/>
          <w:b/>
        </w:rPr>
        <w:t>TMX - 4</w:t>
      </w:r>
      <w:r w:rsidRPr="00910D17">
        <w:rPr>
          <w:rFonts w:cs="Arial"/>
          <w:b/>
        </w:rPr>
        <w:t>50</w:t>
      </w:r>
    </w:p>
    <w:p w:rsidR="0036414E" w:rsidRPr="00910D17" w:rsidRDefault="00BA252A" w:rsidP="0036414E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15</w:t>
      </w:r>
      <w:r w:rsidR="00A61377">
        <w:rPr>
          <w:rFonts w:cs="Arial"/>
          <w:b/>
        </w:rPr>
        <w:t>00 horas M3</w:t>
      </w:r>
    </w:p>
    <w:p w:rsidR="0036414E" w:rsidRPr="00910D17" w:rsidRDefault="0036414E" w:rsidP="0036414E">
      <w:pPr>
        <w:rPr>
          <w:rFonts w:cs="Arial"/>
        </w:rPr>
      </w:pP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  <w:gridCol w:w="760"/>
        <w:gridCol w:w="840"/>
      </w:tblGrid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Número Equipo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Nombre Mecánico ejecutante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Fecha ejecución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validez documentación (PAV)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iluminación exterior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ajustes y operación en palanca o botonera  de cambio, incluyendo alarma sonora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Revisar operación de </w:t>
            </w:r>
            <w:proofErr w:type="spellStart"/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switch</w:t>
            </w:r>
            <w:proofErr w:type="spellEnd"/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freno de mano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bocina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condición de asiento de conductor y cinturón de seguridad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sistema de emergencia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estado de extintor, fecha de vencimiento, estado de </w:t>
            </w:r>
            <w:proofErr w:type="spellStart"/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manometro</w:t>
            </w:r>
            <w:proofErr w:type="spellEnd"/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lastRenderedPageBreak/>
              <w:t>Inspeccionar estado de muelas de arrastre, seguros y soportes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y condición de correa de accesorio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47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62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lastRenderedPageBreak/>
              <w:t>Inspeccionar tanque de líquido hidráulico en búsqueda de  filtraciones o daños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Inspeccionar RAMS  verificando de estado de las barras de soporte de las memorias, en caso de mal estado cambiar RAMS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sistema de engrase central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presión de funcionamiento de sistema de freno (según manual de mantenimiento) si es necesario ajustar.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eje según carta de lubricación adjunta en pauta de mantenimiento. (pág</w:t>
            </w:r>
            <w:proofErr w:type="gramStart"/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. )</w:t>
            </w:r>
            <w:proofErr w:type="gramEnd"/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Verificar alineación de sistema de dirección según procedimiento de manual capítulo 1.3.9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filtros de aire.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Rellenar aceite hidráulico.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Rellenar aceite de diferenciales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mandos finales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grasa en sistema de engrase automático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605E8" w:rsidRPr="008605E8" w:rsidTr="008605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Arial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5E8" w:rsidRPr="008605E8" w:rsidRDefault="008605E8" w:rsidP="008605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860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605E8" w:rsidRDefault="008605E8">
      <w:pPr>
        <w:rPr>
          <w:rFonts w:cs="Arial"/>
          <w:b/>
          <w:bCs/>
          <w:color w:val="000000"/>
        </w:rPr>
      </w:pPr>
    </w:p>
    <w:p w:rsidR="008605E8" w:rsidRDefault="008605E8">
      <w:p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br w:type="page"/>
      </w:r>
    </w:p>
    <w:p w:rsidR="00642D3F" w:rsidRPr="00D52D56" w:rsidRDefault="00D52D56" w:rsidP="008605E8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ascii="Arial" w:hAnsi="Arial" w:cs="Arial"/>
          <w:b/>
          <w:bCs/>
          <w:noProof/>
          <w:color w:val="000000"/>
          <w:sz w:val="24"/>
          <w:szCs w:val="24"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A0FDEE5" wp14:editId="6DE6AF89">
            <wp:simplePos x="0" y="0"/>
            <wp:positionH relativeFrom="column">
              <wp:posOffset>-622935</wp:posOffset>
            </wp:positionH>
            <wp:positionV relativeFrom="paragraph">
              <wp:posOffset>245745</wp:posOffset>
            </wp:positionV>
            <wp:extent cx="6867525" cy="661972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61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tbl>
      <w:tblPr>
        <w:tblStyle w:val="Tablaconcuadrcula"/>
        <w:tblpPr w:leftFromText="141" w:rightFromText="141" w:vertAnchor="text" w:horzAnchor="margin" w:tblpXSpec="center" w:tblpY="-74"/>
        <w:tblW w:w="7341" w:type="dxa"/>
        <w:tblLook w:val="04A0" w:firstRow="1" w:lastRow="0" w:firstColumn="1" w:lastColumn="0" w:noHBand="0" w:noVBand="1"/>
      </w:tblPr>
      <w:tblGrid>
        <w:gridCol w:w="7341"/>
      </w:tblGrid>
      <w:tr w:rsidR="008D5591" w:rsidTr="008D5591">
        <w:trPr>
          <w:trHeight w:val="145"/>
        </w:trPr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591" w:rsidRDefault="008D5591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 de engrase queda OK</w:t>
            </w:r>
          </w:p>
          <w:p w:rsidR="008D5591" w:rsidRDefault="008D5591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En caso de no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tickear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el cuadro especificar En observaciones.  </w:t>
            </w:r>
          </w:p>
        </w:tc>
      </w:tr>
    </w:tbl>
    <w:p w:rsidR="00D7504F" w:rsidRDefault="00D7504F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C6F" w:rsidRDefault="000F1C6F" w:rsidP="00D52D56">
      <w:pPr>
        <w:spacing w:after="0" w:line="240" w:lineRule="auto"/>
      </w:pPr>
      <w:r>
        <w:separator/>
      </w:r>
    </w:p>
  </w:endnote>
  <w:endnote w:type="continuationSeparator" w:id="0">
    <w:p w:rsidR="000F1C6F" w:rsidRDefault="000F1C6F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C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C0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C6F" w:rsidRDefault="000F1C6F" w:rsidP="00D52D56">
      <w:pPr>
        <w:spacing w:after="0" w:line="240" w:lineRule="auto"/>
      </w:pPr>
      <w:r>
        <w:separator/>
      </w:r>
    </w:p>
  </w:footnote>
  <w:footnote w:type="continuationSeparator" w:id="0">
    <w:p w:rsidR="000F1C6F" w:rsidRDefault="000F1C6F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D2F2D"/>
    <w:rsid w:val="000F1C6F"/>
    <w:rsid w:val="0010401C"/>
    <w:rsid w:val="001B6B72"/>
    <w:rsid w:val="00232A93"/>
    <w:rsid w:val="002700A0"/>
    <w:rsid w:val="00301E87"/>
    <w:rsid w:val="0036414E"/>
    <w:rsid w:val="003B1FA9"/>
    <w:rsid w:val="0045337B"/>
    <w:rsid w:val="004970D8"/>
    <w:rsid w:val="00561360"/>
    <w:rsid w:val="00642D3F"/>
    <w:rsid w:val="00856051"/>
    <w:rsid w:val="008605E8"/>
    <w:rsid w:val="008D5591"/>
    <w:rsid w:val="009F2FF5"/>
    <w:rsid w:val="009F3BFA"/>
    <w:rsid w:val="00A25D6E"/>
    <w:rsid w:val="00A61377"/>
    <w:rsid w:val="00A73B56"/>
    <w:rsid w:val="00B14083"/>
    <w:rsid w:val="00B23F0E"/>
    <w:rsid w:val="00B76D6A"/>
    <w:rsid w:val="00B90E1F"/>
    <w:rsid w:val="00BA252A"/>
    <w:rsid w:val="00BE6A42"/>
    <w:rsid w:val="00BF71F3"/>
    <w:rsid w:val="00C315C1"/>
    <w:rsid w:val="00D52D56"/>
    <w:rsid w:val="00D7504F"/>
    <w:rsid w:val="00D827C2"/>
    <w:rsid w:val="00D91D76"/>
    <w:rsid w:val="00D91D98"/>
    <w:rsid w:val="00E30E6F"/>
    <w:rsid w:val="00E41C03"/>
    <w:rsid w:val="00EA3802"/>
    <w:rsid w:val="00EF2F27"/>
    <w:rsid w:val="00FA7281"/>
    <w:rsid w:val="00FC748B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EB195-03B7-415D-B483-893BA270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1228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13</cp:revision>
  <cp:lastPrinted>2016-04-01T17:59:00Z</cp:lastPrinted>
  <dcterms:created xsi:type="dcterms:W3CDTF">2016-04-04T11:52:00Z</dcterms:created>
  <dcterms:modified xsi:type="dcterms:W3CDTF">2016-10-18T12:16:00Z</dcterms:modified>
</cp:coreProperties>
</file>