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Costos</w:t>
      </w:r>
    </w:p>
    <w:p w:rsidR="00000000" w:rsidDel="00000000" w:rsidP="00000000" w:rsidRDefault="00000000" w:rsidRPr="00000000" w14:paraId="00000004">
      <w:pPr>
        <w:pStyle w:val="Heading3"/>
        <w:spacing w:line="480" w:lineRule="auto"/>
        <w:ind w:firstLine="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05">
      <w:pPr>
        <w:widowControl w:val="1"/>
        <w:spacing w:after="200" w:line="480" w:lineRule="auto"/>
        <w:ind w:right="-20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8">
      <w:pPr>
        <w:widowControl w:val="1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Edición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 Milagros Jesus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</w:tbl>
    <w:p w:rsidR="00000000" w:rsidDel="00000000" w:rsidP="00000000" w:rsidRDefault="00000000" w:rsidRPr="00000000" w14:paraId="00000015">
      <w:pPr>
        <w:widowControl w:val="1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60" w:lineRule="auto"/>
        <w:ind w:left="10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1 Introducción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1.1 Propósito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1.2 Alcance del Documento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Estimaciones de Costos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heading=h.w6bz0str9xh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Categorías de Costos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Alcance del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Presupuesto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3.1 </w:t>
          </w:r>
          <w:hyperlink w:anchor="_heading=h.md3yjwjnbyf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Asignación Presupuestaria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knbtshyvqpn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Fuentes de financiamiento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 </w:t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Control de Costos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cbjrpis4vn4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Proceso de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uzkbxayr4zu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Herramientas de Control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Gestión de Cambios de Costos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Proceso de Control de Cambios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5.2 Documentación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Roles y Responsabilidades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Conclusión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10" w:orient="portrait"/>
          <w:pgMar w:bottom="1000" w:top="1920" w:left="1340" w:right="1320" w:header="0" w:footer="80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tabs>
          <w:tab w:val="left" w:leader="none" w:pos="583"/>
        </w:tabs>
        <w:spacing w:after="0" w:before="34" w:line="276" w:lineRule="auto"/>
        <w:ind w:left="583" w:right="0" w:hanging="48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6"/>
        </w:numPr>
        <w:tabs>
          <w:tab w:val="left" w:leader="none" w:pos="711"/>
        </w:tabs>
        <w:spacing w:after="0" w:before="192" w:line="276" w:lineRule="auto"/>
        <w:ind w:left="1431" w:right="0" w:hanging="611"/>
        <w:jc w:val="both"/>
        <w:rPr>
          <w:rFonts w:ascii="Times New Roman" w:cs="Times New Roman" w:eastAsia="Times New Roman" w:hAnsi="Times New Roman"/>
        </w:rPr>
      </w:pPr>
      <w:bookmarkStart w:colFirst="0" w:colLast="0" w:name="_heading=h.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Propósito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76" w:lineRule="auto"/>
        <w:ind w:left="820" w:right="116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definir cómo se gestionan los costos del proyecto "SevenDe", una plataforma web para reserva y compra anticipada de menús en la Universidad Nacional Mayor de San Marcos (UNMSM).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6"/>
        </w:numPr>
        <w:tabs>
          <w:tab w:val="left" w:leader="none" w:pos="712"/>
        </w:tabs>
        <w:spacing w:after="0" w:before="0" w:line="276" w:lineRule="auto"/>
        <w:ind w:left="1432" w:right="0" w:hanging="611.9999999999999"/>
        <w:jc w:val="left"/>
        <w:rPr>
          <w:rFonts w:ascii="Times New Roman" w:cs="Times New Roman" w:eastAsia="Times New Roman" w:hAnsi="Times New Roman"/>
        </w:rPr>
      </w:pPr>
      <w:bookmarkStart w:colFirst="0" w:colLast="0" w:name="_heading=h.tyjcw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Alcance del Documento 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Este plan abarcará:</w:t>
      </w:r>
    </w:p>
    <w:p w:rsidR="00000000" w:rsidDel="00000000" w:rsidP="00000000" w:rsidRDefault="00000000" w:rsidRPr="00000000" w14:paraId="00000030">
      <w:pPr>
        <w:tabs>
          <w:tab w:val="left" w:leader="none" w:pos="712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9"/>
        </w:numPr>
        <w:tabs>
          <w:tab w:val="left" w:leader="none" w:pos="712"/>
        </w:tabs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</w:rPr>
      </w:pPr>
      <w:bookmarkStart w:colFirst="0" w:colLast="0" w:name="_heading=h.i257i41hfnr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Metodología de estimación de costos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Presupuesto del proyecto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control y gestión de costos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y responsabilidades financieras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6"/>
        </w:numPr>
        <w:tabs>
          <w:tab w:val="left" w:leader="none" w:pos="584"/>
        </w:tabs>
        <w:spacing w:after="0" w:before="0" w:line="276" w:lineRule="auto"/>
        <w:ind w:left="584" w:right="0" w:hanging="484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de Costos</w:t>
      </w:r>
    </w:p>
    <w:p w:rsidR="00000000" w:rsidDel="00000000" w:rsidP="00000000" w:rsidRDefault="00000000" w:rsidRPr="00000000" w14:paraId="00000037">
      <w:pPr>
        <w:pStyle w:val="Heading3"/>
        <w:tabs>
          <w:tab w:val="left" w:leader="none" w:pos="584"/>
        </w:tabs>
        <w:spacing w:after="80" w:before="280" w:lineRule="auto"/>
        <w:ind w:left="584" w:righ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w6bz0str9xh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Categorías de Costos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tabs>
          <w:tab w:val="left" w:leader="none" w:pos="584"/>
        </w:tabs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Humanos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desarrollo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Gestores de proyecto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Diseñadores UX/UI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Consultores técnicos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Recursos Tecnológicos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Infraestructura de desarrollo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Licencias de software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en la nube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desarrollo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y Promoción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Publicidad en redes sociales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promocional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Eventos de lanzamiento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Operativos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y comunicaciones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tabs>
          <w:tab w:val="left" w:leader="none" w:pos="584"/>
        </w:tabs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Viáticos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tabs>
          <w:tab w:val="left" w:leader="none" w:pos="584"/>
        </w:tabs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Capacitaciones</w:t>
      </w:r>
    </w:p>
    <w:p w:rsidR="00000000" w:rsidDel="00000000" w:rsidP="00000000" w:rsidRDefault="00000000" w:rsidRPr="00000000" w14:paraId="0000004A">
      <w:pPr>
        <w:pStyle w:val="Heading3"/>
        <w:tabs>
          <w:tab w:val="left" w:leader="none" w:pos="584"/>
        </w:tabs>
        <w:spacing w:after="80" w:before="280" w:lineRule="auto"/>
        <w:ind w:left="584" w:righ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eading=h.hy769t1gayp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Método de Estimación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tabs>
          <w:tab w:val="left" w:leader="none" w:pos="584"/>
        </w:tabs>
        <w:spacing w:after="0" w:afterAutospacing="0" w:before="240" w:lineRule="auto"/>
        <w:ind w:left="1785" w:hanging="27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paramétrica</w:t>
      </w:r>
    </w:p>
    <w:p w:rsidR="00000000" w:rsidDel="00000000" w:rsidP="00000000" w:rsidRDefault="00000000" w:rsidRPr="00000000" w14:paraId="0000004C">
      <w:pPr>
        <w:numPr>
          <w:ilvl w:val="3"/>
          <w:numId w:val="6"/>
        </w:numPr>
        <w:tabs>
          <w:tab w:val="left" w:leader="none" w:pos="584"/>
        </w:tabs>
        <w:spacing w:after="0" w:afterAutospacing="0" w:before="0" w:beforeAutospacing="0" w:lineRule="auto"/>
        <w:ind w:left="1785" w:hanging="27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análoga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tabs>
          <w:tab w:val="left" w:leader="none" w:pos="584"/>
        </w:tabs>
        <w:spacing w:after="0" w:afterAutospacing="0" w:before="0" w:beforeAutospacing="0" w:lineRule="auto"/>
        <w:ind w:left="1785" w:hanging="27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Juicio de expertos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tabs>
          <w:tab w:val="left" w:leader="none" w:pos="584"/>
        </w:tabs>
        <w:spacing w:after="240" w:before="0" w:beforeAutospacing="0" w:lineRule="auto"/>
        <w:ind w:left="1785" w:hanging="279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ascendente (bottom-up)</w:t>
      </w:r>
    </w:p>
    <w:p w:rsidR="00000000" w:rsidDel="00000000" w:rsidP="00000000" w:rsidRDefault="00000000" w:rsidRPr="00000000" w14:paraId="0000004F">
      <w:pPr>
        <w:tabs>
          <w:tab w:val="left" w:leader="none" w:pos="584"/>
        </w:tabs>
        <w:spacing w:after="240" w:before="240" w:lineRule="auto"/>
        <w:ind w:left="6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84"/>
        </w:tabs>
        <w:spacing w:after="240" w:before="240" w:lineRule="auto"/>
        <w:ind w:left="6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84"/>
        </w:tabs>
        <w:ind w:left="5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tabs>
          <w:tab w:val="left" w:leader="none" w:pos="584"/>
        </w:tabs>
        <w:spacing w:after="0" w:before="34" w:line="276" w:lineRule="auto"/>
        <w:ind w:right="116" w:firstLine="98.99999999999999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80" w:before="280" w:line="276" w:lineRule="auto"/>
        <w:ind w:left="820" w:right="118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md3yjwjnbyf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Asignación Presupuestaria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presupuesto total del proyecto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presupuesto por área (desarrollo, marketing, operaciones)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reserva de contingencia</w:t>
      </w:r>
    </w:p>
    <w:p w:rsidR="00000000" w:rsidDel="00000000" w:rsidP="00000000" w:rsidRDefault="00000000" w:rsidRPr="00000000" w14:paraId="00000057">
      <w:pPr>
        <w:pStyle w:val="Heading3"/>
        <w:spacing w:after="80" w:before="280" w:line="276" w:lineRule="auto"/>
        <w:ind w:left="820" w:right="118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knbtshyvqpn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Fuentes de Financiamiento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Inversión inicial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subvenciones universitarias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Fondos de desarrollo tecnológico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6"/>
        </w:numPr>
        <w:tabs>
          <w:tab w:val="left" w:leader="none" w:pos="584"/>
        </w:tabs>
        <w:spacing w:after="0" w:before="1" w:line="276" w:lineRule="auto"/>
        <w:ind w:left="584" w:right="0" w:hanging="484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Costos</w:t>
      </w:r>
    </w:p>
    <w:p w:rsidR="00000000" w:rsidDel="00000000" w:rsidP="00000000" w:rsidRDefault="00000000" w:rsidRPr="00000000" w14:paraId="0000005D">
      <w:pPr>
        <w:pStyle w:val="Heading3"/>
        <w:spacing w:after="80" w:before="280" w:line="276" w:lineRule="auto"/>
        <w:ind w:left="820" w:right="11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cbjrpis4vn4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Proceso de Control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continuo de gastos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Comparación de costos reales vs. presupuestados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variaciones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acciones correctivas</w:t>
      </w:r>
    </w:p>
    <w:p w:rsidR="00000000" w:rsidDel="00000000" w:rsidP="00000000" w:rsidRDefault="00000000" w:rsidRPr="00000000" w14:paraId="00000062">
      <w:pPr>
        <w:pStyle w:val="Heading3"/>
        <w:spacing w:after="80" w:before="280" w:line="276" w:lineRule="auto"/>
        <w:ind w:left="820" w:right="11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uzkbxayr4zu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Herramientas de Control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gestión de proyectos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Informes financieros mensuales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valor ganado (EVM)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tabs>
          <w:tab w:val="left" w:leader="none" w:pos="583"/>
        </w:tabs>
        <w:spacing w:after="0" w:before="0" w:line="276" w:lineRule="auto"/>
        <w:ind w:left="583" w:right="0" w:hanging="48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bn6ws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Cambios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6"/>
        </w:numPr>
        <w:tabs>
          <w:tab w:val="left" w:leader="none" w:pos="711"/>
        </w:tabs>
        <w:spacing w:after="0" w:before="0" w:line="276" w:lineRule="auto"/>
        <w:ind w:left="1431" w:right="0" w:hanging="611"/>
        <w:jc w:val="both"/>
        <w:rPr>
          <w:rFonts w:ascii="Times New Roman" w:cs="Times New Roman" w:eastAsia="Times New Roman" w:hAnsi="Times New Roman"/>
        </w:rPr>
      </w:pPr>
      <w:bookmarkStart w:colFirst="0" w:colLast="0" w:name="_heading=h.3as4poj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Proceso de Control de Cambios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711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de cambio financiero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leader="none" w:pos="711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del impacto económico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left" w:leader="none" w:pos="711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Aprobación por comité de control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tabs>
          <w:tab w:val="left" w:leader="none" w:pos="711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de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11"/>
        </w:tabs>
        <w:ind w:left="1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tabs>
          <w:tab w:val="left" w:leader="none" w:pos="711"/>
        </w:tabs>
        <w:spacing w:after="0" w:afterAutospacing="0"/>
        <w:ind w:left="1432" w:hanging="612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detallado de cambios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 de modificaciones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Impacto en presupuesto total</w:t>
      </w:r>
    </w:p>
    <w:p w:rsidR="00000000" w:rsidDel="00000000" w:rsidP="00000000" w:rsidRDefault="00000000" w:rsidRPr="00000000" w14:paraId="00000073">
      <w:pPr>
        <w:spacing w:before="89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89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6"/>
        </w:numPr>
        <w:tabs>
          <w:tab w:val="left" w:leader="none" w:pos="583"/>
        </w:tabs>
        <w:spacing w:after="0" w:before="1" w:line="276" w:lineRule="auto"/>
        <w:ind w:left="583" w:right="0" w:hanging="48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47n2z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y Responsabilidades</w:t>
      </w:r>
    </w:p>
    <w:p w:rsidR="00000000" w:rsidDel="00000000" w:rsidP="00000000" w:rsidRDefault="00000000" w:rsidRPr="00000000" w14:paraId="00000077">
      <w:pPr>
        <w:tabs>
          <w:tab w:val="left" w:leader="none" w:pos="583"/>
        </w:tabs>
        <w:ind w:left="5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4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5"/>
        <w:gridCol w:w="4800"/>
        <w:tblGridChange w:id="0">
          <w:tblGrid>
            <w:gridCol w:w="3465"/>
            <w:gridCol w:w="4800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Gestor del Proyecto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Supervisión general de 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presupuestario detallado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costos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Control de Cambios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6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gastos de promoción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tabs>
          <w:tab w:val="left" w:leader="none" w:pos="584"/>
        </w:tabs>
        <w:spacing w:after="0" w:before="0" w:line="276" w:lineRule="auto"/>
        <w:ind w:left="584" w:right="0" w:hanging="484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3ckvvd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100" w:right="116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de Gestión de Costos es fundamental para garantizar la viabilidad económica del proyecto SevenDe, asegurando un uso eficiente de los recursos y minimizando riesgos financieros.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000" w:top="1340" w:left="1340" w:right="1320" w:header="0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10020300</wp:posOffset>
              </wp:positionV>
              <wp:extent cx="177800" cy="18351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625" y="3697768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2832100</wp:posOffset>
              </wp:positionH>
              <wp:positionV relativeFrom="paragraph">
                <wp:posOffset>10020300</wp:posOffset>
              </wp:positionV>
              <wp:extent cx="177800" cy="18351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584" w:hanging="485"/>
      </w:pPr>
      <w:rPr>
        <w:rFonts w:ascii="Calibri" w:cs="Calibri" w:eastAsia="Calibri" w:hAnsi="Calibri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645" w:hanging="279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1785" w:hanging="279"/>
      </w:pPr>
      <w:rPr/>
    </w:lvl>
    <w:lvl w:ilvl="4">
      <w:start w:val="0"/>
      <w:numFmt w:val="bullet"/>
      <w:lvlText w:val="•"/>
      <w:lvlJc w:val="left"/>
      <w:pPr>
        <w:ind w:left="2851" w:hanging="278.99999999999955"/>
      </w:pPr>
      <w:rPr/>
    </w:lvl>
    <w:lvl w:ilvl="5">
      <w:start w:val="0"/>
      <w:numFmt w:val="bullet"/>
      <w:lvlText w:val="•"/>
      <w:lvlJc w:val="left"/>
      <w:pPr>
        <w:ind w:left="3917" w:hanging="279"/>
      </w:pPr>
      <w:rPr/>
    </w:lvl>
    <w:lvl w:ilvl="6">
      <w:start w:val="0"/>
      <w:numFmt w:val="bullet"/>
      <w:lvlText w:val="•"/>
      <w:lvlJc w:val="left"/>
      <w:pPr>
        <w:ind w:left="4982" w:hanging="279"/>
      </w:pPr>
      <w:rPr/>
    </w:lvl>
    <w:lvl w:ilvl="7">
      <w:start w:val="0"/>
      <w:numFmt w:val="bullet"/>
      <w:lvlText w:val="•"/>
      <w:lvlJc w:val="left"/>
      <w:pPr>
        <w:ind w:left="6048" w:hanging="279"/>
      </w:pPr>
      <w:rPr/>
    </w:lvl>
    <w:lvl w:ilvl="8">
      <w:start w:val="0"/>
      <w:numFmt w:val="bullet"/>
      <w:lvlText w:val="•"/>
      <w:lvlJc w:val="left"/>
      <w:pPr>
        <w:ind w:left="7114" w:hanging="279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21"/>
      <w:ind w:left="427" w:hanging="327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2"/>
      <w:ind w:left="928" w:hanging="501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138"/>
      <w:ind w:left="100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584" w:hanging="484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711" w:hanging="611"/>
      <w:jc w:val="both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286"/>
      <w:ind w:right="18"/>
      <w:jc w:val="center"/>
      <w:outlineLvl w:val="3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4">
    <w:name w:val="Heading 4"/>
    <w:basedOn w:val="Normal"/>
    <w:uiPriority w:val="1"/>
    <w:qFormat w:val="1"/>
    <w:pPr>
      <w:spacing w:before="131"/>
      <w:ind w:left="644" w:hanging="278"/>
      <w:outlineLvl w:val="4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72"/>
      <w:ind w:left="1" w:right="18"/>
      <w:jc w:val="center"/>
    </w:pPr>
    <w:rPr>
      <w:rFonts w:ascii="Calibri" w:cs="Calibri" w:eastAsia="Calibri" w:hAnsi="Calibri"/>
      <w:sz w:val="34"/>
      <w:szCs w:val="3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28" w:hanging="50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1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N4nk0FhNWXeSsq2yoxOL/J1pw==">CgMxLjAyCWguMzBqMHpsbDIJaC4zem55c2g3MghoLnR5amN3dDIOaC5pMjU3aTQxaGZucjIyCWguMXQzaDVzZjIOaC53NmJ6MHN0cjl4aDgyDmguaHk3Njl0MWdheXBhMgloLjJzOGV5bzEyDmgubWQzeWp3am5ieWYwMg5oLmtuYnRzaHl2cXBudzIJaC4yanhzeHFoMg5oLmNianJwaXM0dm40NjIOaC51emtieGF5cjR6dXoyCWguMmJuNndzeDIJaC4zYXM0cG9qMgloLjE0N24yenIyCWguMjNja3Z2ZDgAciExYXFoaVV5T2kxZmdiTWRwQks1MWEzdzhDaURwa1cwT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2024-10-11T15:16:41Z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2024-09-30T00:00:00Z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2024-10-11T00:00:00Z</vt:lpwstr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