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37D88"/>
          <w:sz w:val="20"/>
        </w:rPr>
        <w:t>ESCUELA SUPERIOR POLITÉCNICA DE CHIMBORAZO</w:t>
      </w:r>
    </w:p>
    <w:p>
      <w:r>
        <w:rPr>
          <w:color w:val="5D6F7B"/>
          <w:sz w:val="18"/>
        </w:rPr>
        <w:t>FACULTAD DE INFORMÁTICA Y ELECTRÓNICA  ·  CARRERA DE SOFTWARE</w:t>
      </w:r>
    </w:p>
    <w:p>
      <w:r>
        <w:rPr>
          <w:b/>
          <w:color w:val="137D88"/>
          <w:sz w:val="48"/>
        </w:rPr>
        <w:t>D-37-01</w:t>
      </w:r>
    </w:p>
    <w:p>
      <w:pPr>
        <w:pStyle w:val="Title"/>
      </w:pPr>
      <w:r>
        <w:t>Manual para preparar y completar el Plan de Análisis Estadístico</w:t>
      </w:r>
    </w:p>
    <w:p>
      <w:r>
        <w:rPr>
          <w:color w:val="5D6F7B"/>
          <w:sz w:val="26"/>
        </w:rPr>
        <w:t>Guía metodológica, trazabilidad, decisiones y obtención de insumos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6633"/>
      </w:tblGrid>
      <w:tr>
        <w:tc>
          <w:tcPr>
            <w:tcW w:type="dxa" w:w="4663"/>
            <w:shd w:fill="EAF3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466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8"/>
              </w:rPr>
              <w:t>Desarrollo de un sistema web y móvil para la gestión integral en la empresa ICARO CONSTRUCTORES BMGM S.A.S.</w:t>
            </w:r>
          </w:p>
        </w:tc>
      </w:tr>
      <w:tr>
        <w:tc>
          <w:tcPr>
            <w:tcW w:type="dxa" w:w="4663"/>
            <w:shd w:fill="EAF3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sz w:val="18"/>
              </w:rPr>
              <w:t>Documento guía</w:t>
            </w:r>
          </w:p>
        </w:tc>
        <w:tc>
          <w:tcPr>
            <w:tcW w:type="dxa" w:w="466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8"/>
              </w:rPr>
              <w:t>D-37-01_Plan_Analisis_Estadistico_ICARO.xlsx</w:t>
            </w:r>
          </w:p>
        </w:tc>
      </w:tr>
      <w:tr>
        <w:tc>
          <w:tcPr>
            <w:tcW w:type="dxa" w:w="4663"/>
            <w:shd w:fill="EAF3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sz w:val="18"/>
              </w:rPr>
              <w:t>Edición del manual</w:t>
            </w:r>
          </w:p>
        </w:tc>
        <w:tc>
          <w:tcPr>
            <w:tcW w:type="dxa" w:w="466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8"/>
              </w:rPr>
              <w:t>1.0  ·  15 de octubre de 2026</w:t>
            </w:r>
          </w:p>
        </w:tc>
      </w:tr>
      <w:tr>
        <w:tc>
          <w:tcPr>
            <w:tcW w:type="dxa" w:w="4663"/>
            <w:shd w:fill="EAF3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466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8"/>
              </w:rPr>
              <w:t>Guía de uso; no constituye ejecución ni aprobación académica</w:t>
            </w:r>
          </w:p>
        </w:tc>
      </w:tr>
    </w:tbl>
    <w:p>
      <w:r>
        <w:rPr>
          <w:b/>
          <w:color w:val="137D88"/>
        </w:rPr>
        <w:t>Propósito</w:t>
      </w:r>
    </w:p>
    <w:p>
      <w:r>
        <w:t>Explicar cómo preparar el instrumento, obtener datos verificables, registrar cada campo y controlar la coherencia de resultados y evidencias sin sustituir la aprobación del diseño metodológico.</w:t>
      </w:r>
    </w:p>
    <w:p>
      <w:r>
        <w:rPr>
          <w:b/>
          <w:color w:val="A76316"/>
        </w:rPr>
        <w:t>Advertencia de integridad científica</w:t>
      </w:r>
    </w:p>
    <w:p>
      <w:r>
        <w:t>No colocar mediciones inventadas, fechas de pruebas no realizadas, aprobaciones supuestas ni resultados cero por ausencia de evidencia. Conservar siempre la fuente de cada dato, la versión del sistema y el criterio de inclusión.</w:t>
      </w:r>
    </w:p>
    <w:p>
      <w:r>
        <w:br w:type="page"/>
      </w:r>
    </w:p>
    <w:p>
      <w:r>
        <w:t>LECTURA INICIAL  |  El D-37-01 tiene 9 hojas y documenta decisiones estadísticas; NO es la base de datos de resultados. Los resultados y las observaciones se incorporan al D-37-02 y se citan aquí mediante identificadores y evidencias.</w:t>
      </w:r>
    </w:p>
    <w:p>
      <w:pPr>
        <w:pStyle w:val="Heading1"/>
      </w:pPr>
      <w:r>
        <w:t>1. Alcance y reglas de uso</w:t>
      </w:r>
    </w:p>
    <w:p>
      <w:r>
        <w:t>Este manual se basa en las hojas, encabezados, rangos, fórmulas y validaciones existentes en D-37-01_Plan_Analisis_Estadistico_ICARO.xlsx. El documento no modifica el Excel ni acredita que una evaluación del software se haya ejecutado.</w:t>
      </w:r>
    </w:p>
    <w:p>
      <w:pPr>
        <w:pStyle w:val="ListBullet"/>
      </w:pPr>
      <w:r>
        <w:t>Diferenciar dato planificado, dato observado, cálculo automático y requisito aprobado. Son categorías distintas.</w:t>
      </w:r>
    </w:p>
    <w:p>
      <w:pPr>
        <w:pStyle w:val="ListBullet"/>
      </w:pPr>
      <w:r>
        <w:t>Trabajar con una copia controlada de cada archivo y registrar fecha, origen, responsable y versión del software.</w:t>
      </w:r>
    </w:p>
    <w:p>
      <w:pPr>
        <w:pStyle w:val="ListBullet"/>
      </w:pPr>
      <w:r>
        <w:t>Utilizar identificadores anónimos para participantes; guardar consentimientos y datos personales fuera de los archivos analíticos.</w:t>
      </w:r>
    </w:p>
    <w:p>
      <w:pPr>
        <w:pStyle w:val="ListBullet"/>
      </w:pPr>
      <w:r>
        <w:t>No sobrescribir celdas con fórmulas. Si se amplían las filas preconfiguradas, revisar también los rangos de resumen y validación.</w:t>
      </w:r>
    </w:p>
    <w:p>
      <w:pPr>
        <w:pStyle w:val="ListBullet"/>
      </w:pPr>
      <w:r>
        <w:t>No afirmar «CUMPLE» cuando la regla de aceptación esté pendiente o exista contradicción entre fuentes.</w:t>
      </w:r>
    </w:p>
    <w:p>
      <w:pPr>
        <w:pStyle w:val="Heading1"/>
      </w:pPr>
      <w:r>
        <w:t>2. Preparación documental y fuentes</w:t>
      </w:r>
    </w:p>
    <w:p>
      <w:pPr>
        <w:spacing w:after="60"/>
        <w:ind w:left="317" w:hanging="272"/>
      </w:pPr>
      <w:r>
        <w:rPr>
          <w:b/>
        </w:rPr>
        <w:t xml:space="preserve">1. </w:t>
      </w:r>
      <w:r>
        <w:t>Abrir la versión vigente del anteproyecto, SRS, matriz de operacionalización (02), plan de verificación (03) e instrumentos D-34-01 a D-34-04 y D-36-01/D-36-02; registrar revisiones y diferencias, no asumir que coinciden.</w:t>
      </w:r>
    </w:p>
    <w:p>
      <w:pPr>
        <w:spacing w:after="60"/>
        <w:ind w:left="317" w:hanging="272"/>
      </w:pPr>
      <w:r>
        <w:rPr>
          <w:b/>
        </w:rPr>
        <w:t xml:space="preserve">2. </w:t>
      </w:r>
      <w:r>
        <w:t>Verificar en el control de versiones la rama y el commit del software evaluable. La ficha incluye un SHA histórico; antes de nuevas sesiones, constatar si sigue siendo el usado.</w:t>
      </w:r>
    </w:p>
    <w:p>
      <w:pPr>
        <w:spacing w:after="60"/>
        <w:ind w:left="317" w:hanging="272"/>
      </w:pPr>
      <w:r>
        <w:rPr>
          <w:b/>
        </w:rPr>
        <w:t xml:space="preserve">3. </w:t>
      </w:r>
      <w:r>
        <w:t>Delimitar la población, muestra, unidad de análisis y periodo de cada OP. Una persona SUS, un intento, una solicitud HTTP, una ventana semanal y una fila de base de datos no son unidades intercambiables.</w:t>
      </w:r>
    </w:p>
    <w:p>
      <w:pPr>
        <w:spacing w:after="60"/>
        <w:ind w:left="317" w:hanging="272"/>
      </w:pPr>
      <w:r>
        <w:rPr>
          <w:b/>
        </w:rPr>
        <w:t xml:space="preserve">4. </w:t>
      </w:r>
      <w:r>
        <w:t>Preparar carpeta de custodia de fuentes y actas. Usar códigos de evidencia que puedan referenciarse en el plan sin exponer nombres ni información empresarial sensible.</w:t>
      </w:r>
    </w:p>
    <w:p>
      <w:pPr>
        <w:spacing w:after="60"/>
        <w:ind w:left="317" w:hanging="272"/>
      </w:pPr>
      <w:r>
        <w:rPr>
          <w:b/>
        </w:rPr>
        <w:t xml:space="preserve">5. </w:t>
      </w:r>
      <w:r>
        <w:t>Cerrar, con validación académica, las decisiones que condicionan comparaciones: OP-03, OP-06, OP-07, OP-05, OP-10 y OP-11; revisar además el tratamiento de OP-01.</w:t>
      </w:r>
    </w:p>
    <w:p>
      <w:pPr>
        <w:pStyle w:val="Heading2"/>
      </w:pPr>
      <w:r>
        <w:t>2.1 Flujo entre ambos Excel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438"/>
        <w:gridCol w:w="4819"/>
      </w:tblGrid>
      <w:tr>
        <w:trPr>
          <w:tblHeader w:val="true"/>
          <w:cantSplit/>
        </w:trPr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Producto verificable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Diseño</w:t>
            </w:r>
          </w:p>
        </w:tc>
        <w:tc>
          <w:tcPr>
            <w:tcW w:type="dxa" w:w="243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D-37-01</w:t>
            </w:r>
          </w:p>
        </w:tc>
        <w:tc>
          <w:tcPr>
            <w:tcW w:type="dxa" w:w="481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Indicador, medición prevista, diseño, supuestos, criterios, fuentes y responsables.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Aplicación</w:t>
            </w:r>
          </w:p>
        </w:tc>
        <w:tc>
          <w:tcPr>
            <w:tcW w:type="dxa" w:w="243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D-34 / bitácoras / logs / cuestionarios</w:t>
            </w:r>
          </w:p>
        </w:tc>
        <w:tc>
          <w:tcPr>
            <w:tcW w:type="dxa" w:w="481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Observaciones originales identificadas, elegibilidad y evidencia por sesión.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Captura y procesamiento</w:t>
            </w:r>
          </w:p>
        </w:tc>
        <w:tc>
          <w:tcPr>
            <w:tcW w:type="dxa" w:w="243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D-37-02</w:t>
            </w:r>
          </w:p>
        </w:tc>
        <w:tc>
          <w:tcPr>
            <w:tcW w:type="dxa" w:w="481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Datos crudos, validaciones, resúmenes y dictámenes condicionados.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Interpretación</w:t>
            </w:r>
          </w:p>
        </w:tc>
        <w:tc>
          <w:tcPr>
            <w:tcW w:type="dxa" w:w="243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D-37-01 y Capítulo III / resultados</w:t>
            </w:r>
          </w:p>
        </w:tc>
        <w:tc>
          <w:tcPr>
            <w:tcW w:type="dxa" w:w="481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Justificación del análisis realizado, límites y trazabilidad documental.</w:t>
            </w:r>
          </w:p>
        </w:tc>
      </w:tr>
    </w:tbl>
    <w:p>
      <w:pPr>
        <w:pStyle w:val="Heading1"/>
      </w:pPr>
      <w:r>
        <w:t>3. ¿De dónde salen los datos de cada indicador?</w:t>
      </w:r>
    </w:p>
    <w:p>
      <w:r>
        <w:t>La tabla describe el tipo de fuente que debe producirse; no supone que sus datos existan actualmente. El registro cuantitativo se almacena en el D-37-02, no en el plan.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871"/>
        <w:gridCol w:w="6123"/>
      </w:tblGrid>
      <w:tr>
        <w:trPr>
          <w:tblHeader w:val="true"/>
          <w:cantSplit/>
        </w:trPr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Obtención de insumos reales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OP-01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Fallos por 1.000</w:t>
            </w:r>
          </w:p>
        </w:tc>
        <w:tc>
          <w:tcPr>
            <w:tcW w:type="dxa" w:w="6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Bitácora de operaciones API o ensayos con esperado/observado, clasificación revisada y log; numerador = fallos confirmados; denominador = operaciones válidas.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OP-02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Disponibilidad semanal</w:t>
            </w:r>
          </w:p>
        </w:tc>
        <w:tc>
          <w:tcPr>
            <w:tcW w:type="dxa" w:w="6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Monitoreo real del servicio seleccionado durante una ventana semanal definida; minutos programados y operativos; registro de interrupciones.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OP-03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Disponibilidad mensual</w:t>
            </w:r>
          </w:p>
        </w:tc>
        <w:tc>
          <w:tcPr>
            <w:tcW w:type="dxa" w:w="6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Monitorización de ventana mensual completa; misma definición de servicio y mantenimiento; resolver 99 % frente a 99,5 %.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OP-04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Media SUS</w:t>
            </w:r>
          </w:p>
        </w:tc>
        <w:tc>
          <w:tcPr>
            <w:tcW w:type="dxa" w:w="6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Cuestionarios SUS individuales con diez respuestas (1–5), consentimiento, sesión y evidencia codificada; sumar puntuaciones válidas.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OP-05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Éxito de tareas</w:t>
            </w:r>
          </w:p>
        </w:tc>
        <w:tc>
          <w:tcPr>
            <w:tcW w:type="dxa" w:w="6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Ficha de observación por intento; tarea, usuario anónimo, autorización, resultado, exclusiones y evidencia.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OP-06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P95 respuesta</w:t>
            </w:r>
          </w:p>
        </w:tc>
        <w:tc>
          <w:tcPr>
            <w:tcW w:type="dxa" w:w="6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Exportación original de latencias por solicitud (ms), escenario, corrida, configuración de carga y logs; elegir comparador definitivo.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OP-07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P99 respuesta</w:t>
            </w:r>
          </w:p>
        </w:tc>
        <w:tc>
          <w:tcPr>
            <w:tcW w:type="dxa" w:w="6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La misma serie de observaciones originales que P95, calculada por corrida/escenario; aprobar si se usará solo como descriptivo.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OP-08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Formularios conformes</w:t>
            </w:r>
          </w:p>
        </w:tc>
        <w:tc>
          <w:tcPr>
            <w:tcW w:type="dxa" w:w="6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Inventario FOR y listas de chequeo con regla exigible, evaluación ejecutada, conformidad y evidencia.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OP-09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Duplicados indebidos</w:t>
            </w:r>
          </w:p>
        </w:tc>
        <w:tc>
          <w:tcPr>
            <w:tcW w:type="dxa" w:w="6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Consulta SQL reproducible en base de prueba, regla de unicidad de negocio aprobada y número de registros revisados.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OP-10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Recuperaciones</w:t>
            </w:r>
          </w:p>
        </w:tc>
        <w:tc>
          <w:tcPr>
            <w:tcW w:type="dxa" w:w="6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Solo si se ratifica: protocolo de recuperación, eventos provocados/controlados, criterio observable y evidencia.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OP-11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MTBF</w:t>
            </w:r>
          </w:p>
        </w:tc>
        <w:tc>
          <w:tcPr>
            <w:tcW w:type="dxa" w:w="6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Solo si se ratifica: marcas de tiempo de fallos confirmados, exposición efectiva e intervalos completos entre fallos.</w:t>
            </w:r>
          </w:p>
        </w:tc>
      </w:tr>
    </w:tbl>
    <w:p>
      <w:pPr>
        <w:pStyle w:val="Heading1"/>
      </w:pPr>
      <w:r>
        <w:t>4. Cómo completar las 9 hojas</w:t>
      </w:r>
    </w:p>
    <w:p>
      <w:pPr>
        <w:pStyle w:val="Heading2"/>
      </w:pPr>
      <w:r>
        <w:t>4.1 01_FICHA_GENERAL — identificación y estado</w:t>
      </w:r>
    </w:p>
    <w:p>
      <w:pPr>
        <w:pStyle w:val="ListBullet"/>
      </w:pPr>
      <w:r>
        <w:t>Consultar B5:B16 para contexto, versión, estado y documentación. Revisar especialmente B11 (responsables), B12 (estado) y B13 (rama/commit). Actualizar únicamente con evidencia de una nueva revisión.</w:t>
      </w:r>
    </w:p>
    <w:p>
      <w:pPr>
        <w:pStyle w:val="ListBullet"/>
      </w:pPr>
      <w:r>
        <w:t>No editar las celdas calculadas A23, C23, E23 ni G23: contabilizan indicadores principales, complementarios y con evidencia de la hoja 02.</w:t>
      </w:r>
    </w:p>
    <w:p>
      <w:pPr>
        <w:pStyle w:val="ListBullet"/>
      </w:pPr>
      <w:r>
        <w:t>Si se comprueba una versión distinta de matrices, registrar la corrección en las hojas 08 y 09 antes de reescribir el estado de la ficha.</w:t>
      </w:r>
    </w:p>
    <w:p>
      <w:pPr>
        <w:pStyle w:val="Heading2"/>
      </w:pPr>
      <w:r>
        <w:t>4.2 02_PLAN_POR_INDICADOR — matriz central (filas 8–18)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402"/>
        <w:gridCol w:w="4649"/>
      </w:tblGrid>
      <w:tr>
        <w:trPr>
          <w:tblHeader w:val="true"/>
          <w:cantSplit/>
        </w:trPr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Columnas</w:t>
            </w:r>
          </w:p>
        </w:tc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Acción de llenado</w:t>
            </w:r>
          </w:p>
        </w:tc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De dónde obtenerla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A:J; S:T</w:t>
            </w:r>
          </w:p>
        </w:tc>
        <w:tc>
          <w:tcPr>
            <w:tcW w:type="dxa" w:w="340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Revisar definiciones, unidad, fuente y reglas iniciales; cambios solo mediante revisión documental.</w:t>
            </w:r>
          </w:p>
        </w:tc>
        <w:tc>
          <w:tcPr>
            <w:tcW w:type="dxa" w:w="464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Operacionalización, SRS, criterios PV y D-34/D-36.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K:L; M</w:t>
            </w:r>
          </w:p>
        </w:tc>
        <w:tc>
          <w:tcPr>
            <w:tcW w:type="dxa" w:w="340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Escribir umbral y comparador únicamente cuando estén respaldados; seleccionar estado en M.</w:t>
            </w:r>
          </w:p>
        </w:tc>
        <w:tc>
          <w:tcPr>
            <w:tcW w:type="dxa" w:w="464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Plan de verificación, anteproyecto y acta de aprobación.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N:P</w:t>
            </w:r>
          </w:p>
        </w:tc>
        <w:tc>
          <w:tcPr>
            <w:tcW w:type="dxa" w:w="340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Elegir si existe contraste; incorporar hipótesis previa en O y prueba elegida en P, si procede.</w:t>
            </w:r>
          </w:p>
        </w:tc>
        <w:tc>
          <w:tcPr>
            <w:tcW w:type="dxa" w:w="464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Objetivo estadístico y diseño aprobado ANTES de observar resultados.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Q:R</w:t>
            </w:r>
          </w:p>
        </w:tc>
        <w:tc>
          <w:tcPr>
            <w:tcW w:type="dxa" w:w="340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Contrastar supuestos y, cuando corresponda, definir efecto compatible.</w:t>
            </w:r>
          </w:p>
        </w:tc>
        <w:tc>
          <w:tcPr>
            <w:tcW w:type="dxa" w:w="464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Unidad de análisis, estructura de muestra y hoja 05.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U:W</w:t>
            </w:r>
          </w:p>
        </w:tc>
        <w:tc>
          <w:tcPr>
            <w:tcW w:type="dxa" w:w="340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Estado de medición (U), código/ruta de evidencia (V) y justificación de decisión (W).</w:t>
            </w:r>
          </w:p>
        </w:tc>
        <w:tc>
          <w:tcPr>
            <w:tcW w:type="dxa" w:w="464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D-37-02, logs, cuestionarios, informes firmados.</w:t>
            </w:r>
          </w:p>
        </w:tc>
      </w:tr>
    </w:tbl>
    <w:p>
      <w:pPr>
        <w:spacing w:before="140" w:after="180"/>
      </w:pPr>
      <w:r>
        <w:rPr>
          <w:b/>
          <w:color w:val="A76316"/>
        </w:rPr>
        <w:t xml:space="preserve">CLAVE  </w:t>
      </w:r>
      <w:r>
        <w:t>La lista desplegable U8:U18 acepta «Sin resultados», «En recopilación», «Con evidencia» o «No evaluable». No seleccionar «Con evidencia» únicamente porque existe un script de prueba.</w:t>
      </w:r>
    </w:p>
    <w:p>
      <w:pPr>
        <w:pStyle w:val="Heading2"/>
      </w:pPr>
      <w:r>
        <w:t>4.3 03_SUPUESTOS_ESTADISTICOS — supuestos condicionales</w:t>
      </w:r>
    </w:p>
    <w:p>
      <w:pPr>
        <w:pStyle w:val="ListBullet"/>
      </w:pPr>
      <w:r>
        <w:t>Revisar AS-01 a AS-08 (filas 8–15) y determinar primero si está justificado hacer inferencia. El descriptivo es el análisis principal previsto.</w:t>
      </w:r>
    </w:p>
    <w:p>
      <w:pPr>
        <w:pStyle w:val="ListBullet"/>
      </w:pPr>
      <w:r>
        <w:t>En J indicar el número real de unidades independientes; K y L reciben el estadístico W y el valor p de Shapiro–Wilk únicamente si efectivamente se ejecutó sobre datos apropiados.</w:t>
      </w:r>
    </w:p>
    <w:p>
      <w:pPr>
        <w:pStyle w:val="ListBullet"/>
      </w:pPr>
      <w:r>
        <w:t>En M seleccionar el estado, en N describir la justificación y en O señalar log o salida estadística. No aplicar Shapiro–Wilk a porcentajes agregados o percentiles ya calculados.</w:t>
      </w:r>
    </w:p>
    <w:p>
      <w:pPr>
        <w:pStyle w:val="Heading2"/>
      </w:pPr>
      <w:r>
        <w:t>4.4 04_MATRIZ_CONTRASTES — pruebas candidatas</w:t>
      </w:r>
    </w:p>
    <w:p>
      <w:pPr>
        <w:pStyle w:val="ListBullet"/>
      </w:pPr>
      <w:r>
        <w:t>Filas 8–14: CT-01 a CT-07 describen posibles diseños y pruebas; se trata de un catálogo, NO de decisiones tomadas.</w:t>
      </w:r>
    </w:p>
    <w:p>
      <w:pPr>
        <w:pStyle w:val="ListBullet"/>
      </w:pPr>
      <w:r>
        <w:t>Completar H (hipótesis aprobada), I (prueba finalmente seleccionada), J (Sí/No según ejecución), K (salida/versiones) y L (justificación) solo si hay un diseño inferencial aprobado.</w:t>
      </w:r>
    </w:p>
    <w:p>
      <w:pPr>
        <w:pStyle w:val="ListBullet"/>
      </w:pPr>
      <w:r>
        <w:t>Conservar J en «No» cuando no se haya realizado el análisis, incluso si la prueba aparece nombrada en C o D.</w:t>
      </w:r>
    </w:p>
    <w:p>
      <w:pPr>
        <w:pStyle w:val="Heading2"/>
      </w:pPr>
      <w:r>
        <w:t>4.5 05_TAMANOS_EFECTO — magnitud e incertidumbre</w:t>
      </w:r>
    </w:p>
    <w:p>
      <w:pPr>
        <w:pStyle w:val="ListBullet"/>
      </w:pPr>
      <w:r>
        <w:t>Filas 8–14: consultar los métodos sugeridos para el diseño realmente utilizado; no seleccionar automáticamente d de Cohen, r ni otro efecto.</w:t>
      </w:r>
    </w:p>
    <w:p>
      <w:pPr>
        <w:pStyle w:val="ListBullet"/>
      </w:pPr>
      <w:r>
        <w:t>Introducir H (n real), I (estimación) y J (intervalo/medida de incertidumbre) exclusivamente a partir de análisis reproducible; K registra estado y referencia.</w:t>
      </w:r>
    </w:p>
    <w:p>
      <w:pPr>
        <w:pStyle w:val="ListBullet"/>
      </w:pPr>
      <w:r>
        <w:t>La magnitud del efecto no sustituye la condición de cumplimiento de un requisito del software.</w:t>
      </w:r>
    </w:p>
    <w:p>
      <w:pPr>
        <w:pStyle w:val="Heading2"/>
      </w:pPr>
      <w:r>
        <w:t>4.6 06_HERRAMIENTAS_VERSIONES — herramientas efectivas</w:t>
      </w:r>
    </w:p>
    <w:p>
      <w:pPr>
        <w:pStyle w:val="ListBullet"/>
      </w:pPr>
      <w:r>
        <w:t>Filas 8–14: D/E contienen la situación/versiones declaradas; F registra la versión realmente ejecutada; G ofrece cómo comprobarla.</w:t>
      </w:r>
    </w:p>
    <w:p>
      <w:pPr>
        <w:pStyle w:val="ListBullet"/>
      </w:pPr>
      <w:r>
        <w:t>Antes de una campaña, obtener y archivar salida de comandos como «node --version», «npm --version» y «k6 version», según el software utilizado; no escribir una versión por aproximación.</w:t>
      </w:r>
    </w:p>
    <w:p>
      <w:pPr>
        <w:pStyle w:val="ListBullet"/>
      </w:pPr>
      <w:r>
        <w:t>Completar I (fecha comprobación) y J (captura o log), más H cuando cambie la ruta de procedencia. Las herramientas no utilizadas siguen sin versión ejecutada.</w:t>
      </w:r>
    </w:p>
    <w:p>
      <w:pPr>
        <w:pStyle w:val="Heading2"/>
      </w:pPr>
      <w:r>
        <w:t>4.7 07_DECISIONES_PENDIENTES — registro de aprobación</w:t>
      </w:r>
    </w:p>
    <w:p>
      <w:pPr>
        <w:pStyle w:val="ListBullet"/>
      </w:pPr>
      <w:r>
        <w:t>Filas 8–24: DP-01 a DP-17 contienen temas y acciones previas. Priorizar las decisiones «Alta», especialmente periodos de disponibilidad, comparador P95 y reglas de duplicados.</w:t>
      </w:r>
    </w:p>
    <w:p>
      <w:pPr>
        <w:pStyle w:val="ListBullet"/>
      </w:pPr>
      <w:r>
        <w:t>Asignar G (responsable), actualizar H mediante lista («Pendiente», «En revisión», «Resuelto con evidencia», «No aplica») y completar I/J con fecha y acta/correo verificable.</w:t>
      </w:r>
    </w:p>
    <w:p>
      <w:pPr>
        <w:pStyle w:val="ListBullet"/>
      </w:pPr>
      <w:r>
        <w:t>No eliminar antecedentes ni reemplazar una discrepancia por una preferencia no documentada; reflejar la resolución en hoja 02 y en el D-37-02, si corresponde.</w:t>
      </w:r>
    </w:p>
    <w:p>
      <w:pPr>
        <w:pStyle w:val="Heading2"/>
      </w:pPr>
      <w:r>
        <w:t>4.8 08_FUENTES_TRAZABILIDAD — procedencia</w:t>
      </w:r>
    </w:p>
    <w:p>
      <w:pPr>
        <w:pStyle w:val="ListBullet"/>
      </w:pPr>
      <w:r>
        <w:t>Filas 8–21: FU-01 y siguientes identifican artefactos. Contrastar B–D con archivos efectivos; E es SHA del archivo cuando exista comprobación Git, distinto del SHA general del commit.</w:t>
      </w:r>
    </w:p>
    <w:p>
      <w:pPr>
        <w:pStyle w:val="ListBullet"/>
      </w:pPr>
      <w:r>
        <w:t>Actualizar F (consulta), G (estado), H (uso) e I (URL permanente) si se inspeccionó realmente el archivo. No afirmar acceso binario si solo se consultó una referencia o nombre.</w:t>
      </w:r>
    </w:p>
    <w:p>
      <w:pPr>
        <w:pStyle w:val="ListBullet"/>
      </w:pPr>
      <w:r>
        <w:t>Mantener accesibles versiones congeladas de documentos y pruebas para evitar que un enlace a main apunte luego a contenido distinto.</w:t>
      </w:r>
    </w:p>
    <w:p>
      <w:pPr>
        <w:pStyle w:val="Heading2"/>
      </w:pPr>
      <w:r>
        <w:t>4.9 09_CONTROL_REVISION — auditoría de coherencia</w:t>
      </w:r>
    </w:p>
    <w:p>
      <w:pPr>
        <w:pStyle w:val="ListBullet"/>
      </w:pPr>
      <w:r>
        <w:t>Filas 8–17: RT-01 y siguientes registran hallazgos y medidas aplicadas; actualizar E (pendiente externo), F (validador), G (fecha) y H (referencia).</w:t>
      </w:r>
    </w:p>
    <w:p>
      <w:pPr>
        <w:pStyle w:val="ListBullet"/>
      </w:pPr>
      <w:r>
        <w:t>No registrar «corregido» como equivalente a «aprobado por el director»; son situaciones diferentes. Si el hallazgo sigue abierto, especificar dependencia y evidencia faltante.</w:t>
      </w:r>
    </w:p>
    <w:p>
      <w:pPr>
        <w:pStyle w:val="Heading1"/>
      </w:pPr>
      <w:r>
        <w:t>5. Reglas estadísticas e interpretación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139"/>
        <w:gridCol w:w="3288"/>
      </w:tblGrid>
      <w:tr>
        <w:trPr>
          <w:tblHeader w:val="true"/>
          <w:cantSplit/>
        </w:trPr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Situación real</w:t>
            </w:r>
          </w:p>
        </w:tc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Procedimiento admisible</w:t>
            </w:r>
          </w:p>
        </w:tc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Error a evitar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Una serie SUS válida</w:t>
            </w:r>
          </w:p>
        </w:tc>
        <w:tc>
          <w:tcPr>
            <w:tcW w:type="dxa" w:w="413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Describir n, media, mediana, desviación muestral si n≥2, mínimo y máximo; comparar con criterio aprobado.</w:t>
            </w:r>
          </w:p>
        </w:tc>
        <w:tc>
          <w:tcPr>
            <w:tcW w:type="dxa" w:w="32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Suponer población aleatoria, declarar significación por tener SUS ≥75.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Intentos de tarea</w:t>
            </w:r>
          </w:p>
        </w:tc>
        <w:tc>
          <w:tcPr>
            <w:tcW w:type="dxa" w:w="413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Calcular éxitos/validos ×100 y mostrar exclusiones por tarea/perfil.</w:t>
            </w:r>
          </w:p>
        </w:tc>
        <w:tc>
          <w:tcPr>
            <w:tcW w:type="dxa" w:w="32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Declarar «cumple» sin meta aprobada; contar intentos no realizados.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Fallos y disponibilidad</w:t>
            </w:r>
          </w:p>
        </w:tc>
        <w:tc>
          <w:tcPr>
            <w:tcW w:type="dxa" w:w="413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Utilizar denominadores de operaciones válidas o minutos efectivamente programados.</w:t>
            </w:r>
          </w:p>
        </w:tc>
        <w:tc>
          <w:tcPr>
            <w:tcW w:type="dxa" w:w="32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Usar errores HTTP esperados como fallos o ausencia de observaciones como 0.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Tiempos respuesta</w:t>
            </w:r>
          </w:p>
        </w:tc>
        <w:tc>
          <w:tcPr>
            <w:tcW w:type="dxa" w:w="413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Calcular P95/P99 desde solicitudes individuales y conservar corrida, condición de carga, n y archivo crudo.</w:t>
            </w:r>
          </w:p>
        </w:tc>
        <w:tc>
          <w:tcPr>
            <w:tcW w:type="dxa" w:w="32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Inferir P99 desde P95, mezclar endpoints no comparables o usar n de usuarios virtuales.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Inferencia opcional</w:t>
            </w:r>
          </w:p>
        </w:tc>
        <w:tc>
          <w:tcPr>
            <w:tcW w:type="dxa" w:w="413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Predefinir hipótesis, unidad independiente, diseño, prueba, supuestos, nivel de significación y efecto.</w:t>
            </w:r>
          </w:p>
        </w:tc>
        <w:tc>
          <w:tcPr>
            <w:tcW w:type="dxa" w:w="32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Ejecutar Shapiro o t automáticamente sin pregunta inferencial aprobada.</w:t>
            </w:r>
          </w:p>
        </w:tc>
      </w:tr>
    </w:tbl>
    <w:p>
      <w:pPr>
        <w:pStyle w:val="Heading2"/>
      </w:pPr>
      <w:r>
        <w:t>5.1 Criterios documentales que deben conciliarse</w:t>
      </w:r>
    </w:p>
    <w:p>
      <w:pPr>
        <w:pStyle w:val="ListBullet"/>
      </w:pPr>
      <w:r>
        <w:t>OP-03: el plan registra discrepancia entre 99 % y 99,5 % para disponibilidad mensual. Exigir decisión de versión y periodo antes del dictamen.</w:t>
      </w:r>
    </w:p>
    <w:p>
      <w:pPr>
        <w:pStyle w:val="ListBullet"/>
      </w:pPr>
      <w:r>
        <w:t>OP-06: diferencia entre «&lt; 2.000 ms» en el script k6 y «≤ 2.000 ms» en otros documentos. El valor de frontera cambia la conclusión.</w:t>
      </w:r>
    </w:p>
    <w:p>
      <w:pPr>
        <w:pStyle w:val="ListBullet"/>
      </w:pPr>
      <w:r>
        <w:t>OP-07: criterio y protocolo P99 requieren ratificación; no inventar ni asumir prueba ejecutada.</w:t>
      </w:r>
    </w:p>
    <w:p>
      <w:pPr>
        <w:pStyle w:val="ListBullet"/>
      </w:pPr>
      <w:r>
        <w:t>OP-01: el D-37-01 pide ratificar la clasificación y el límite; el D-37-02 contiene un valor propuesto/aprobado en su hoja 02. Registrar esta diferencia como tema de armonización.</w:t>
      </w:r>
    </w:p>
    <w:p>
      <w:pPr>
        <w:pStyle w:val="ListBullet"/>
      </w:pPr>
      <w:r>
        <w:t>OP-05 y OP-10/OP-11: la inexistencia de umbral definitivo implica análisis descriptivo o suspensión del dictamen, no incumplimiento.</w:t>
      </w:r>
    </w:p>
    <w:p>
      <w:pPr>
        <w:pStyle w:val="Heading1"/>
      </w:pPr>
      <w:r>
        <w:t>6. Ruta recomendada desde la primera revisión hasta el cierre</w:t>
      </w:r>
    </w:p>
    <w:p>
      <w:pPr>
        <w:spacing w:after="60"/>
        <w:ind w:left="317" w:hanging="272"/>
      </w:pPr>
      <w:r>
        <w:rPr>
          <w:b/>
        </w:rPr>
        <w:t xml:space="preserve">1. </w:t>
      </w:r>
      <w:r>
        <w:t>En una copia de trabajo, contrastar FU y documentación vigente; comprobar versiones de archivos y SHA usado en las pruebas.</w:t>
      </w:r>
    </w:p>
    <w:p>
      <w:pPr>
        <w:spacing w:after="60"/>
        <w:ind w:left="317" w:hanging="272"/>
      </w:pPr>
      <w:r>
        <w:rPr>
          <w:b/>
        </w:rPr>
        <w:t xml:space="preserve">2. </w:t>
      </w:r>
      <w:r>
        <w:t>Completar decisiones DP con el director: criterios, exclusiones, muestra, inferencia y herramientas.</w:t>
      </w:r>
    </w:p>
    <w:p>
      <w:pPr>
        <w:spacing w:after="60"/>
        <w:ind w:left="317" w:hanging="272"/>
      </w:pPr>
      <w:r>
        <w:rPr>
          <w:b/>
        </w:rPr>
        <w:t xml:space="preserve">3. </w:t>
      </w:r>
      <w:r>
        <w:t>Revisar OP por OP en hoja 02 e identificar variables/entradas que se obtendrán en las hojas de captura del D-37-02.</w:t>
      </w:r>
    </w:p>
    <w:p>
      <w:pPr>
        <w:spacing w:after="60"/>
        <w:ind w:left="317" w:hanging="272"/>
      </w:pPr>
      <w:r>
        <w:rPr>
          <w:b/>
        </w:rPr>
        <w:t xml:space="preserve">4. </w:t>
      </w:r>
      <w:r>
        <w:t>Ejecutar campañas y recopilar los datos solo en los protocolos e instrumentos adecuados, conservando evidencias originales.</w:t>
      </w:r>
    </w:p>
    <w:p>
      <w:pPr>
        <w:spacing w:after="60"/>
        <w:ind w:left="317" w:hanging="272"/>
      </w:pPr>
      <w:r>
        <w:rPr>
          <w:b/>
        </w:rPr>
        <w:t xml:space="preserve">5. </w:t>
      </w:r>
      <w:r>
        <w:t>Validar y consolidar las mediciones en D-37-02; revisar advertencias y consistencia antes de regresar al plan.</w:t>
      </w:r>
    </w:p>
    <w:p>
      <w:pPr>
        <w:spacing w:after="60"/>
        <w:ind w:left="317" w:hanging="272"/>
      </w:pPr>
      <w:r>
        <w:rPr>
          <w:b/>
        </w:rPr>
        <w:t xml:space="preserve">6. </w:t>
      </w:r>
      <w:r>
        <w:t>Actualizar U:W de hoja 02 con los códigos de evidencia y, cuando proceda, hipótesis/prueba/efectos con salida reproducible.</w:t>
      </w:r>
    </w:p>
    <w:p>
      <w:pPr>
        <w:spacing w:after="60"/>
        <w:ind w:left="317" w:hanging="272"/>
      </w:pPr>
      <w:r>
        <w:rPr>
          <w:b/>
        </w:rPr>
        <w:t xml:space="preserve">7. </w:t>
      </w:r>
      <w:r>
        <w:t>Revisar hoja 09, obtener validación académica y recién entonces utilizar la estrategia para redactar el análisis de resultados.</w:t>
      </w:r>
    </w:p>
    <w:p>
      <w:pPr>
        <w:pStyle w:val="Heading1"/>
      </w:pPr>
      <w:r>
        <w:t>7. Lista de verificación de salida</w:t>
      </w:r>
    </w:p>
    <w:p>
      <w:pPr>
        <w:pStyle w:val="ListBullet"/>
      </w:pPr>
      <w:r>
        <w:t>Cada OP de la hoja 02 conserva código, unidad, datos requeridos, tratamiento descriptivo y fuente respaldada.</w:t>
      </w:r>
    </w:p>
    <w:p>
      <w:pPr>
        <w:pStyle w:val="ListBullet"/>
      </w:pPr>
      <w:r>
        <w:t>Los criterios que figuren aprobados cuentan con referencia y comparador inequívocos; discrepancias siguen visibles hasta su cierre.</w:t>
      </w:r>
    </w:p>
    <w:p>
      <w:pPr>
        <w:pStyle w:val="ListBullet"/>
      </w:pPr>
      <w:r>
        <w:t>No hay muestras, versiones, fechas de ejecución, hipótesis, p-valores ni tamaños del efecto que procedan de suposiciones.</w:t>
      </w:r>
    </w:p>
    <w:p>
      <w:pPr>
        <w:pStyle w:val="ListBullet"/>
      </w:pPr>
      <w:r>
        <w:t>Todo cambio de estado «Con evidencia» o «Resuelto con evidencia» remite a una fuente real accesible.</w:t>
      </w:r>
    </w:p>
    <w:p>
      <w:pPr>
        <w:pStyle w:val="ListBullet"/>
      </w:pPr>
      <w:r>
        <w:t>No se ha sustituido el uso del D-37-02 por resultados escritos libremente dentro del D-37-01.</w:t>
      </w:r>
    </w:p>
    <w:p>
      <w:pPr>
        <w:pStyle w:val="ListBullet"/>
      </w:pPr>
      <w:r>
        <w:t>Existe revisión del director o estado explícito «pendiente»; conservar versión fechada del plan.</w:t>
      </w:r>
    </w:p>
    <w:p>
      <w:pPr>
        <w:pStyle w:val="Heading1"/>
      </w:pPr>
      <w:r>
        <w:t>8. Referencias documentales dentro del proyecto</w:t>
      </w:r>
    </w:p>
    <w:p>
      <w:r>
        <w:t>Fuente primaria: D-37-01_Plan_Analisis_Estadistico_ICARO.xlsx (9 hojas). Fuentes complementarias de contraste: D-37-02_Matriz_Procesamiento_Analisis_ICARO.xlsx; 03_Plan_Verificacion_Criterios_Aceptacion_ICARO.xlsx; D-34-01 a D-34-04; D-36-01 y D-36-02; SRS y arquitectura ICARO v2; documentación de pruebas. Su presencia en el proyecto no significa que su versión esté aprobada ni que exista evidencia de aplicación.</w:t>
      </w:r>
    </w:p>
    <w:p>
      <w:r>
        <w:t>Regla de edición: los rangos indicados corresponden a la versión de los Excel recibida el 15/10/2026. Si cambia la estructura del libro, volver a verificar encabezados, validaciones y fórmulas antes de usar este manual.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36" w:right="1247" w:bottom="1162" w:left="1332" w:header="635" w:footer="6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F7B"/>
        <w:sz w:val="16"/>
      </w:rPr>
      <w:t xml:space="preserve">ESPOCH · Instrumentos de evaluación de calidad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D6F7B"/>
        <w:sz w:val="15"/>
      </w:rPr>
      <w:t>ICARO CONSTRUCTORES  |  D-37-01  ·  Manual de llenado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2537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3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7D8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34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3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