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28"/>
        </w:rPr>
        <w:t>REGISTRO DE PLANIFICADO VS. REALIZADO — SPRINT 09</w:t>
      </w:r>
    </w:p>
    <w:p>
      <w:pPr>
        <w:jc w:val="center"/>
      </w:pPr>
      <w:r>
        <w:rPr>
          <w:rFonts w:ascii="Calibri" w:hAnsi="Calibri"/>
          <w:b w:val="0"/>
          <w:color w:val="595959"/>
          <w:sz w:val="18"/>
        </w:rPr>
        <w:t>Proyecto: Sistema de Gestión Integral de Obra — ICARO CONSTRUCTORES BMGM S.A.S.</w:t>
      </w:r>
    </w:p>
    <w:p>
      <w:pPr>
        <w:jc w:val="center"/>
      </w:pPr>
      <w:r>
        <w:rPr>
          <w:rFonts w:ascii="Calibri" w:hAnsi="Calibri"/>
          <w:b w:val="0"/>
          <w:color w:val="595959"/>
          <w:sz w:val="18"/>
        </w:rPr>
        <w:t>Código: PLN-REA-SPR-09 | Versión: 1.0 | Fecha: 12/06/2026</w:t>
      </w:r>
    </w:p>
    <w:p>
      <w:pPr>
        <w:pStyle w:val="Heading1"/>
      </w:pPr>
      <w:r>
        <w:rPr>
          <w:rFonts w:ascii="Calibri" w:hAnsi="Calibri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PLN-REA-SPR-09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Registro de Planificado vs. Realizado – Sprint 09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09 – Gestión Integral: Consumo en Obra, Validaciones y Sincronización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Aprobado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12/06/2026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Documento generado con datos reales del Sprint 09</w:t>
            </w:r>
          </w:p>
        </w:tc>
      </w:tr>
    </w:tbl>
    <w:p>
      <w:pPr>
        <w:pStyle w:val="Heading1"/>
      </w:pPr>
      <w:r>
        <w:rPr>
          <w:rFonts w:ascii="Calibri" w:hAnsi="Calibri"/>
        </w:rPr>
        <w:t>2. Datos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09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Gestión Integral: Consumo en Obra, Validaciones y Sincronización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08/06/2026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semana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Materiales Disponibles por Proyecto, Consumo Transaccional (SALIDA), Validaciones de Seguridad RBAC + Stock + Proyecto, Sincronización Offline (SyncManager cliente), Historial de Consumos con Trazabilidad, Rollback Transaccional y Audit Log</w:t>
            </w:r>
          </w:p>
        </w:tc>
      </w:tr>
    </w:tbl>
    <w:p>
      <w:pPr>
        <w:pStyle w:val="Heading1"/>
      </w:pPr>
      <w:r>
        <w:rPr>
          <w:rFonts w:ascii="Calibri" w:hAnsi="Calibri"/>
        </w:rPr>
        <w:t>3. Historias/Tareas: Planificado vs. Realizado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 Plan.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 Real.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Desvío SP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Cumpl.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F. Inicio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F. Fin</w:t>
            </w:r>
          </w:p>
        </w:tc>
      </w:tr>
      <w:tr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HU-S9-1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HU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Consultar materiales disponibles por proyecto (filtro por stock &gt; 0)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Alta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08/06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09/06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T-S9-1.1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/consumo/proyectos/:id/materiales-disponibles con RBAC canRead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08/06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08/06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T-S9-1.2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Respuesta: { data: array, total } — cada ítem incluye idProyecto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08/06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09/06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T-S9-1.3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Pruebas Grupo 1 (CP-194–CP-198)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09/06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09/06</w:t>
            </w:r>
          </w:p>
        </w:tc>
      </w:tr>
      <w:tr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HU-S9-2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HU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Registrar consumo transaccional de materiales (tipo SALIDA) en obra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Alta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8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8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08/06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T-S9-2.1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/consumo/proyectos/:id/consumir — RBAC canConsume (Admin+Residente)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08/06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09/06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T-S9-2.2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Pre-validaciones: cantidad &gt; 0, idMaterial y idProyecto obligatorios → 400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09/06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T-S9-2.3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Movimiento tipo SALIDA con cantidadAnterior y cantidadResultante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09/06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T-S9-2.4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Pruebas Grupo 2 (CP-199–CP-206)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</w:t>
            </w:r>
          </w:p>
        </w:tc>
      </w:tr>
      <w:tr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HU-S9-3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HU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Validaciones de seguridad: stock insuficiente, proyecto ajeno e inactivo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Alta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09/06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11/06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T-S9-3.1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Dentro de transacción: stock &lt; cantidad → 422 STOCK_INSUFICIENTE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09/06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T-S9-3.2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Dentro de transacción: sin asignación → 403 PROYECTO_NO_AUTORIZADO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T-S9-3.3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Dentro de transacción: proyecto INACTIVO → 422 PROYECTO_INACTIVO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T-S9-3.4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Garantía: stock nunca queda negativo (cantidadResultante &gt;= 0)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T-S9-3.5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Pruebas Grupo 3 y Grupo 6 (CP-207–CP-211, CP-220–CP-222)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</w:tr>
      <w:tr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HU-S9-4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HU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Sincronización offline: estrategia cliente SyncManager/IndexedDB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Media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10/06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11/06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T-S9-4.1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Servidor responde 201 por cada petición válida; sin lógica idempotencia BD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T-S9-4.2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Campo idempotencyKey eliminado del schema (deduplicación en cliente)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T-S9-4.3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Pruebas Grupo 4 (CP-212–CP-213)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</w:tr>
      <w:tr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HT-S9-01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HT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Historial de consumos, trazabilidad y rollback transaccional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Alta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11/06</w:t>
            </w:r>
          </w:p>
        </w:tc>
        <w:tc>
          <w:tcPr>
            <w:tcW w:type="dxa" w:w="9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12/06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T-H9.1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/consumo/proyectos/:id/historial — solo movimientos SALIDA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T-H9.2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Cada movimiento: cantidadAnterior, cantidadResultante (&gt;=0)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12/06</w:t>
            </w:r>
          </w:p>
        </w:tc>
      </w:tr>
      <w:tr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T-H9.3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audit_log.create dentro de la misma transacción de consumo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11/06</w:t>
            </w:r>
          </w:p>
        </w:tc>
        <w:tc>
          <w:tcPr>
            <w:tcW w:type="dxa" w:w="9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12/06</w:t>
            </w:r>
          </w:p>
        </w:tc>
      </w:tr>
      <w:tr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T-H9.4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Pruebas Grupo 5 (CP-214–CP-219)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12/06</w:t>
            </w:r>
          </w:p>
        </w:tc>
        <w:tc>
          <w:tcPr>
            <w:tcW w:type="dxa" w:w="94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12/06</w:t>
            </w:r>
          </w:p>
        </w:tc>
      </w:tr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TOTALES</w:t>
            </w:r>
          </w:p>
        </w:tc>
        <w:tc>
          <w:tcPr>
            <w:tcW w:type="dxa" w:w="941"/>
            <w:shd w:val="clear" w:color="auto" w:fill="1F3864"/>
          </w:tcPr>
          <w:p/>
        </w:tc>
        <w:tc>
          <w:tcPr>
            <w:tcW w:type="dxa" w:w="941"/>
            <w:shd w:val="clear" w:color="auto" w:fill="1F3864"/>
          </w:tcPr>
          <w:p/>
        </w:tc>
        <w:tc>
          <w:tcPr>
            <w:tcW w:type="dxa" w:w="941"/>
            <w:shd w:val="clear" w:color="auto" w:fill="1F3864"/>
          </w:tcPr>
          <w:p/>
        </w:tc>
        <w:tc>
          <w:tcPr>
            <w:tcW w:type="dxa" w:w="941"/>
            <w:shd w:val="clear" w:color="auto" w:fill="1F386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35</w:t>
            </w:r>
          </w:p>
        </w:tc>
        <w:tc>
          <w:tcPr>
            <w:tcW w:type="dxa" w:w="941"/>
            <w:shd w:val="clear" w:color="auto" w:fill="1F386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35</w:t>
            </w:r>
          </w:p>
        </w:tc>
        <w:tc>
          <w:tcPr>
            <w:tcW w:type="dxa" w:w="941"/>
            <w:shd w:val="clear" w:color="auto" w:fill="1F386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941"/>
            <w:shd w:val="clear" w:color="auto" w:fill="1F3864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941"/>
            <w:shd w:val="clear" w:color="auto" w:fill="1F3864"/>
          </w:tcPr>
          <w:p/>
        </w:tc>
        <w:tc>
          <w:tcPr>
            <w:tcW w:type="dxa" w:w="941"/>
            <w:shd w:val="clear" w:color="auto" w:fill="1F3864"/>
          </w:tcPr>
          <w:p/>
        </w:tc>
      </w:tr>
    </w:tbl>
    <w:p>
      <w:pPr>
        <w:pStyle w:val="Heading1"/>
      </w:pPr>
      <w:r>
        <w:rPr>
          <w:rFonts w:ascii="Calibri" w:hAnsi="Calibri"/>
        </w:rPr>
        <w:t>4. Resumen cuantitativo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Planificado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Realizado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Story Points comprometidos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35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Story Points completados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35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Story Points no completados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% Cumplimiento de SP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100%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HU planificadas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HT planificadas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Total ítems completados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% Cumplimiento del backlog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100%</w:t>
            </w:r>
          </w:p>
        </w:tc>
      </w:tr>
    </w:tbl>
    <w:p>
      <w:pPr>
        <w:pStyle w:val="Heading1"/>
      </w:pPr>
      <w:r>
        <w:rPr>
          <w:rFonts w:ascii="Calibri" w:hAnsi="Calibri"/>
        </w:rPr>
        <w:t>5. Análisis de desvíos significativos</w:t>
      </w:r>
    </w:p>
    <w:p>
      <w:pPr>
        <w:jc w:val="both"/>
      </w:pPr>
      <w:r>
        <w:rPr>
          <w:rFonts w:ascii="Calibri" w:hAnsi="Calibri"/>
          <w:color w:val="000000"/>
          <w:sz w:val="20"/>
        </w:rPr>
        <w:t>El Sprint 09 no registró desvíos significativos. Los 35 SP planificados fueron entregados en su totalidad. La implementación del módulo de Consumo en Obra (consumo.service.registrarConsumo con validaciones de negocio STOCK_INSUFICIENTE, PROYECTO_NO_AUTORIZADO, PROYECTO_INACTIVO) fue el componente de mayor complejidad del sprint, completado dentro del tiempo planificado. La estrategia de sincronización offline (gestión en el cliente SyncManager/IndexedDB con la eliminación de idempotencyKey del schema de BD) se implementó sin regresiones. La cobertura de pruebas alcanzó el 100% (29/29 PASS). Acumulado del proyecto: 222 pruebas (CP-001 a CP-222).</w:t>
      </w:r>
    </w:p>
    <w:p>
      <w:pPr>
        <w:pStyle w:val="Heading1"/>
      </w:pPr>
      <w:r>
        <w:rPr>
          <w:rFonts w:ascii="Calibri" w:hAnsi="Calibri"/>
        </w:rPr>
        <w:t>6. Observaciones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Logros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 HU + 1 HT completados. 35 SP realizados. 29 pruebas automatizadas (100% PASS). Módulo de Consumo en Obra operativo con validaciones transaccionales completas. Historial con trazabilidad plena. Rollback automático verificado.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Impedimentos encontrados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Las pruebas de integración HTTP (Grupos 1, 2, 4, 5) retornan 403/404/500 sin BD activa (comportamiento esperado). Las pruebas unitarias (Grupos 3 y 6) usan mocks de Prisma.$transaction y no requieren BD. Sin impedimentos bloqueantes.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Compromisos para el siguiente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Implementar el módulo de Reportes y Dashboard consolidado (compromiso CRÍTICO diferido por cuarta vez). Implementar exportación xlsx. BD de pruebas con seed data.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Notas adicionales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09 completa el ciclo de materiales: recepción (Sprint 08) → consumo (Sprint 09). Acumulado del proyecto: 222 pruebas (CP-001 a CP-222), 100% PASS.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SP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Story Points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HU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 de Usuario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HT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 Técnica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RBAC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Role-Based Access Control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API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Application Programming Interface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BD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Base de Datos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JWT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JSON Web Token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422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Unprocessable Entity — error de negocio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403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Forbidden — acceso denegado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400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Bad Request — error de validación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