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03749" w14:textId="314E835E" w:rsidR="00784992" w:rsidRPr="003F67E4" w:rsidRDefault="003F67E4" w:rsidP="003F67E4">
      <w:pPr>
        <w:spacing w:line="360" w:lineRule="auto"/>
        <w:jc w:val="center"/>
        <w:rPr>
          <w:rFonts w:ascii="Times New Roman" w:hAnsi="Times New Roman" w:cs="Times New Roman"/>
          <w:b/>
          <w:bCs/>
          <w:sz w:val="24"/>
          <w:szCs w:val="24"/>
        </w:rPr>
      </w:pPr>
      <w:r w:rsidRPr="003F67E4">
        <w:rPr>
          <w:rFonts w:ascii="Times New Roman" w:hAnsi="Times New Roman" w:cs="Times New Roman"/>
          <w:b/>
          <w:bCs/>
          <w:sz w:val="24"/>
          <w:szCs w:val="24"/>
        </w:rPr>
        <w:t>La Plaga Justiniana y sus Efectos en la Transformación del Estado Bizantino</w:t>
      </w:r>
    </w:p>
    <w:p w14:paraId="067E804C" w14:textId="119EE4CE" w:rsidR="00565DC1" w:rsidRPr="004841FE" w:rsidRDefault="0074772B"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Plagas y enfermedades han azotado a sociedades desde el inicio de la civilización</w:t>
      </w:r>
      <w:r w:rsidR="00A20559" w:rsidRPr="004841FE">
        <w:rPr>
          <w:rFonts w:ascii="Times New Roman" w:hAnsi="Times New Roman" w:cs="Times New Roman"/>
          <w:sz w:val="24"/>
          <w:szCs w:val="24"/>
        </w:rPr>
        <w:t>,</w:t>
      </w:r>
      <w:r w:rsidR="001E5B7C" w:rsidRPr="004841FE">
        <w:rPr>
          <w:rFonts w:ascii="Times New Roman" w:hAnsi="Times New Roman" w:cs="Times New Roman"/>
          <w:sz w:val="24"/>
          <w:szCs w:val="24"/>
        </w:rPr>
        <w:t xml:space="preserve"> y han tenido un gran efecto en el mundo. </w:t>
      </w:r>
      <w:r w:rsidR="00565DC1" w:rsidRPr="004841FE">
        <w:rPr>
          <w:rFonts w:ascii="Times New Roman" w:hAnsi="Times New Roman" w:cs="Times New Roman"/>
          <w:sz w:val="24"/>
          <w:szCs w:val="24"/>
        </w:rPr>
        <w:t>Estudios genómicos recientes sugieren que, incluso antes de que se empiece a documentar la historia, las primeras cepas</w:t>
      </w:r>
      <w:r w:rsidR="00694D4C" w:rsidRPr="004841FE">
        <w:rPr>
          <w:rFonts w:ascii="Times New Roman" w:hAnsi="Times New Roman" w:cs="Times New Roman"/>
          <w:sz w:val="24"/>
          <w:szCs w:val="24"/>
        </w:rPr>
        <w:t xml:space="preserve"> de</w:t>
      </w:r>
      <w:r w:rsidR="00565DC1" w:rsidRPr="004841FE">
        <w:rPr>
          <w:rFonts w:ascii="Times New Roman" w:hAnsi="Times New Roman" w:cs="Times New Roman"/>
          <w:sz w:val="24"/>
          <w:szCs w:val="24"/>
        </w:rPr>
        <w:t xml:space="preserve"> bacteria Yersinia Pestis</w:t>
      </w:r>
      <w:r w:rsidR="00694D4C" w:rsidRPr="004841FE">
        <w:rPr>
          <w:rFonts w:ascii="Times New Roman" w:hAnsi="Times New Roman" w:cs="Times New Roman"/>
          <w:sz w:val="24"/>
          <w:szCs w:val="24"/>
        </w:rPr>
        <w:t xml:space="preserve"> surgieron durante la edad de bronce y empezaron a actuar como plaga hace 4</w:t>
      </w:r>
      <w:r w:rsidR="003F379D" w:rsidRPr="004841FE">
        <w:rPr>
          <w:rFonts w:ascii="Times New Roman" w:hAnsi="Times New Roman" w:cs="Times New Roman"/>
          <w:sz w:val="24"/>
          <w:szCs w:val="24"/>
        </w:rPr>
        <w:t xml:space="preserve"> </w:t>
      </w:r>
      <w:r w:rsidR="00694D4C" w:rsidRPr="004841FE">
        <w:rPr>
          <w:rFonts w:ascii="Times New Roman" w:hAnsi="Times New Roman" w:cs="Times New Roman"/>
          <w:sz w:val="24"/>
          <w:szCs w:val="24"/>
        </w:rPr>
        <w:t>000 años</w:t>
      </w:r>
      <w:r w:rsidR="00FA07EB" w:rsidRPr="004841FE">
        <w:rPr>
          <w:rFonts w:ascii="Times New Roman" w:hAnsi="Times New Roman" w:cs="Times New Roman"/>
          <w:sz w:val="24"/>
          <w:szCs w:val="24"/>
        </w:rPr>
        <w:t xml:space="preserve"> (</w:t>
      </w:r>
      <w:r w:rsidR="00773CE4" w:rsidRPr="004841FE">
        <w:rPr>
          <w:rFonts w:ascii="Times New Roman" w:hAnsi="Times New Roman" w:cs="Times New Roman"/>
          <w:sz w:val="24"/>
          <w:szCs w:val="24"/>
        </w:rPr>
        <w:t>Andrades et al. 2018</w:t>
      </w:r>
      <w:r w:rsidR="00FA07EB" w:rsidRPr="004841FE">
        <w:rPr>
          <w:rFonts w:ascii="Times New Roman" w:hAnsi="Times New Roman" w:cs="Times New Roman"/>
          <w:sz w:val="24"/>
          <w:szCs w:val="24"/>
        </w:rPr>
        <w:t>).</w:t>
      </w:r>
      <w:r w:rsidR="00462EFB" w:rsidRPr="004841FE">
        <w:rPr>
          <w:rFonts w:ascii="Times New Roman" w:hAnsi="Times New Roman" w:cs="Times New Roman"/>
          <w:sz w:val="24"/>
          <w:szCs w:val="24"/>
        </w:rPr>
        <w:t xml:space="preserve"> </w:t>
      </w:r>
      <w:r w:rsidR="00B9420C" w:rsidRPr="004841FE">
        <w:rPr>
          <w:rFonts w:ascii="Times New Roman" w:hAnsi="Times New Roman" w:cs="Times New Roman"/>
          <w:sz w:val="24"/>
          <w:szCs w:val="24"/>
        </w:rPr>
        <w:t xml:space="preserve">Para el </w:t>
      </w:r>
      <w:r w:rsidR="00853277" w:rsidRPr="004841FE">
        <w:rPr>
          <w:rFonts w:ascii="Times New Roman" w:hAnsi="Times New Roman" w:cs="Times New Roman"/>
          <w:sz w:val="24"/>
          <w:szCs w:val="24"/>
        </w:rPr>
        <w:t xml:space="preserve">año </w:t>
      </w:r>
      <w:r w:rsidR="00B9420C" w:rsidRPr="004841FE">
        <w:rPr>
          <w:rFonts w:ascii="Times New Roman" w:hAnsi="Times New Roman" w:cs="Times New Roman"/>
          <w:sz w:val="24"/>
          <w:szCs w:val="24"/>
        </w:rPr>
        <w:t>285 d.C., el Imperio Romano</w:t>
      </w:r>
      <w:r w:rsidR="00D246A1" w:rsidRPr="004841FE">
        <w:rPr>
          <w:rFonts w:ascii="Times New Roman" w:hAnsi="Times New Roman" w:cs="Times New Roman"/>
          <w:sz w:val="24"/>
          <w:szCs w:val="24"/>
        </w:rPr>
        <w:t xml:space="preserve"> dominaba</w:t>
      </w:r>
      <w:r w:rsidR="00B9420C" w:rsidRPr="004841FE">
        <w:rPr>
          <w:rFonts w:ascii="Times New Roman" w:hAnsi="Times New Roman" w:cs="Times New Roman"/>
          <w:sz w:val="24"/>
          <w:szCs w:val="24"/>
        </w:rPr>
        <w:t xml:space="preserve"> </w:t>
      </w:r>
      <w:r w:rsidR="00D246A1" w:rsidRPr="004841FE">
        <w:rPr>
          <w:rFonts w:ascii="Times New Roman" w:hAnsi="Times New Roman" w:cs="Times New Roman"/>
          <w:sz w:val="24"/>
          <w:szCs w:val="24"/>
        </w:rPr>
        <w:t xml:space="preserve">el </w:t>
      </w:r>
      <w:r w:rsidR="00B9420C" w:rsidRPr="004841FE">
        <w:rPr>
          <w:rFonts w:ascii="Times New Roman" w:hAnsi="Times New Roman" w:cs="Times New Roman"/>
          <w:sz w:val="24"/>
          <w:szCs w:val="24"/>
        </w:rPr>
        <w:t xml:space="preserve">Mediterráneo, el Medio Oriente y Europa Occidental, </w:t>
      </w:r>
      <w:r w:rsidR="00D246A1" w:rsidRPr="004841FE">
        <w:rPr>
          <w:rFonts w:ascii="Times New Roman" w:hAnsi="Times New Roman" w:cs="Times New Roman"/>
          <w:sz w:val="24"/>
          <w:szCs w:val="24"/>
        </w:rPr>
        <w:t xml:space="preserve">y, habiendo </w:t>
      </w:r>
      <w:r w:rsidR="00B9420C" w:rsidRPr="004841FE">
        <w:rPr>
          <w:rFonts w:ascii="Times New Roman" w:hAnsi="Times New Roman" w:cs="Times New Roman"/>
          <w:sz w:val="24"/>
          <w:szCs w:val="24"/>
        </w:rPr>
        <w:t>llegado a su mayor extensión</w:t>
      </w:r>
      <w:r w:rsidR="00D246A1" w:rsidRPr="004841FE">
        <w:rPr>
          <w:rFonts w:ascii="Times New Roman" w:hAnsi="Times New Roman" w:cs="Times New Roman"/>
          <w:sz w:val="24"/>
          <w:szCs w:val="24"/>
        </w:rPr>
        <w:t>,</w:t>
      </w:r>
      <w:r w:rsidR="000B0311" w:rsidRPr="004841FE">
        <w:rPr>
          <w:rFonts w:ascii="Times New Roman" w:hAnsi="Times New Roman" w:cs="Times New Roman"/>
          <w:sz w:val="24"/>
          <w:szCs w:val="24"/>
        </w:rPr>
        <w:t xml:space="preserve"> </w:t>
      </w:r>
      <w:r w:rsidR="00B9420C" w:rsidRPr="004841FE">
        <w:rPr>
          <w:rFonts w:ascii="Times New Roman" w:hAnsi="Times New Roman" w:cs="Times New Roman"/>
          <w:sz w:val="24"/>
          <w:szCs w:val="24"/>
        </w:rPr>
        <w:t>fue dividido en dos para garantizar mayor control de</w:t>
      </w:r>
      <w:r w:rsidR="000B0311" w:rsidRPr="004841FE">
        <w:rPr>
          <w:rFonts w:ascii="Times New Roman" w:hAnsi="Times New Roman" w:cs="Times New Roman"/>
          <w:sz w:val="24"/>
          <w:szCs w:val="24"/>
        </w:rPr>
        <w:t>l territorio</w:t>
      </w:r>
      <w:r w:rsidR="00773CE4" w:rsidRPr="004841FE">
        <w:rPr>
          <w:rFonts w:ascii="Times New Roman" w:hAnsi="Times New Roman" w:cs="Times New Roman"/>
          <w:sz w:val="24"/>
          <w:szCs w:val="24"/>
        </w:rPr>
        <w:t xml:space="preserve">. </w:t>
      </w:r>
      <w:r w:rsidR="000B0311" w:rsidRPr="004841FE">
        <w:rPr>
          <w:rFonts w:ascii="Times New Roman" w:hAnsi="Times New Roman" w:cs="Times New Roman"/>
          <w:sz w:val="24"/>
          <w:szCs w:val="24"/>
        </w:rPr>
        <w:t>Por el contexto sociopolítico de la época</w:t>
      </w:r>
      <w:r w:rsidR="00E73E74" w:rsidRPr="004841FE">
        <w:rPr>
          <w:rFonts w:ascii="Times New Roman" w:hAnsi="Times New Roman" w:cs="Times New Roman"/>
          <w:sz w:val="24"/>
          <w:szCs w:val="24"/>
        </w:rPr>
        <w:t xml:space="preserve">, la mitad occidental del </w:t>
      </w:r>
      <w:r w:rsidR="00C06584" w:rsidRPr="004841FE">
        <w:rPr>
          <w:rFonts w:ascii="Times New Roman" w:hAnsi="Times New Roman" w:cs="Times New Roman"/>
          <w:sz w:val="24"/>
          <w:szCs w:val="24"/>
        </w:rPr>
        <w:t>i</w:t>
      </w:r>
      <w:r w:rsidR="00E73E74" w:rsidRPr="004841FE">
        <w:rPr>
          <w:rFonts w:ascii="Times New Roman" w:hAnsi="Times New Roman" w:cs="Times New Roman"/>
          <w:sz w:val="24"/>
          <w:szCs w:val="24"/>
        </w:rPr>
        <w:t xml:space="preserve">mperio colapsó, dejando a su equivalente oriental como su única sucesora. Este nuevo Imperio Bizantino, como se le conoce ahora, continuó funcionando como el </w:t>
      </w:r>
      <w:r w:rsidR="00D246A1" w:rsidRPr="004841FE">
        <w:rPr>
          <w:rFonts w:ascii="Times New Roman" w:hAnsi="Times New Roman" w:cs="Times New Roman"/>
          <w:sz w:val="24"/>
          <w:szCs w:val="24"/>
        </w:rPr>
        <w:t xml:space="preserve">Estado </w:t>
      </w:r>
      <w:r w:rsidR="00E73E74" w:rsidRPr="004841FE">
        <w:rPr>
          <w:rFonts w:ascii="Times New Roman" w:hAnsi="Times New Roman" w:cs="Times New Roman"/>
          <w:sz w:val="24"/>
          <w:szCs w:val="24"/>
        </w:rPr>
        <w:t>que lo precedió</w:t>
      </w:r>
      <w:r w:rsidR="00E12270" w:rsidRPr="004841FE">
        <w:rPr>
          <w:rFonts w:ascii="Times New Roman" w:hAnsi="Times New Roman" w:cs="Times New Roman"/>
          <w:sz w:val="24"/>
          <w:szCs w:val="24"/>
        </w:rPr>
        <w:t>, pero, durante el mandato del</w:t>
      </w:r>
      <w:r w:rsidR="0002374E" w:rsidRPr="004841FE">
        <w:rPr>
          <w:rFonts w:ascii="Times New Roman" w:hAnsi="Times New Roman" w:cs="Times New Roman"/>
          <w:sz w:val="24"/>
          <w:szCs w:val="24"/>
        </w:rPr>
        <w:t xml:space="preserve"> emperador Justiniano, una plaga se propagó por el territorio (</w:t>
      </w:r>
      <w:r w:rsidR="00D33F17" w:rsidRPr="004841FE">
        <w:rPr>
          <w:rFonts w:ascii="Times New Roman" w:hAnsi="Times New Roman" w:cs="Times New Roman"/>
          <w:sz w:val="24"/>
          <w:szCs w:val="24"/>
        </w:rPr>
        <w:t>MacGillivray &amp; Teall 2020; Mark 2018</w:t>
      </w:r>
      <w:r w:rsidR="0002374E" w:rsidRPr="004841FE">
        <w:rPr>
          <w:rFonts w:ascii="Times New Roman" w:hAnsi="Times New Roman" w:cs="Times New Roman"/>
          <w:sz w:val="24"/>
          <w:szCs w:val="24"/>
        </w:rPr>
        <w:t xml:space="preserve">). </w:t>
      </w:r>
      <w:r w:rsidR="008518CF" w:rsidRPr="004841FE">
        <w:rPr>
          <w:rFonts w:ascii="Times New Roman" w:hAnsi="Times New Roman" w:cs="Times New Roman"/>
          <w:sz w:val="24"/>
          <w:szCs w:val="24"/>
        </w:rPr>
        <w:t>La Plaga Justiniana</w:t>
      </w:r>
      <w:r w:rsidR="0002374E" w:rsidRPr="004841FE">
        <w:rPr>
          <w:rFonts w:ascii="Times New Roman" w:hAnsi="Times New Roman" w:cs="Times New Roman"/>
          <w:sz w:val="24"/>
          <w:szCs w:val="24"/>
        </w:rPr>
        <w:t>, producto de otra cepa del Yersinia Pestis</w:t>
      </w:r>
      <w:r w:rsidR="00AD0069" w:rsidRPr="004841FE">
        <w:rPr>
          <w:rFonts w:ascii="Times New Roman" w:hAnsi="Times New Roman" w:cs="Times New Roman"/>
          <w:sz w:val="24"/>
          <w:szCs w:val="24"/>
        </w:rPr>
        <w:t xml:space="preserve"> de origen asiático</w:t>
      </w:r>
      <w:r w:rsidR="0002374E" w:rsidRPr="004841FE">
        <w:rPr>
          <w:rFonts w:ascii="Times New Roman" w:hAnsi="Times New Roman" w:cs="Times New Roman"/>
          <w:sz w:val="24"/>
          <w:szCs w:val="24"/>
        </w:rPr>
        <w:t xml:space="preserve">, </w:t>
      </w:r>
      <w:r w:rsidR="008518CF" w:rsidRPr="004841FE">
        <w:rPr>
          <w:rFonts w:ascii="Times New Roman" w:hAnsi="Times New Roman" w:cs="Times New Roman"/>
          <w:sz w:val="24"/>
          <w:szCs w:val="24"/>
        </w:rPr>
        <w:t xml:space="preserve">tendría graves consecuencias en la sociedad bizantina y contribuiría a la transición de Bizancio desde un Estado clásico a uno </w:t>
      </w:r>
      <w:r w:rsidR="001C6232" w:rsidRPr="004841FE">
        <w:rPr>
          <w:rFonts w:ascii="Times New Roman" w:hAnsi="Times New Roman" w:cs="Times New Roman"/>
          <w:sz w:val="24"/>
          <w:szCs w:val="24"/>
        </w:rPr>
        <w:t>nuevo.</w:t>
      </w:r>
    </w:p>
    <w:p w14:paraId="6C3D0D8B" w14:textId="02218532" w:rsidR="00502733" w:rsidRPr="004841FE" w:rsidRDefault="00BE16CD"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 xml:space="preserve">Para empezar a argumentar por la anterior tesis, es preciso definir cómo era el Estado </w:t>
      </w:r>
      <w:r w:rsidR="00A37A72" w:rsidRPr="004841FE">
        <w:rPr>
          <w:rFonts w:ascii="Times New Roman" w:hAnsi="Times New Roman" w:cs="Times New Roman"/>
          <w:sz w:val="24"/>
          <w:szCs w:val="24"/>
        </w:rPr>
        <w:t>R</w:t>
      </w:r>
      <w:r w:rsidRPr="004841FE">
        <w:rPr>
          <w:rFonts w:ascii="Times New Roman" w:hAnsi="Times New Roman" w:cs="Times New Roman"/>
          <w:sz w:val="24"/>
          <w:szCs w:val="24"/>
        </w:rPr>
        <w:t>omano previo a la plaga.</w:t>
      </w:r>
      <w:r w:rsidR="00C95AA1" w:rsidRPr="004841FE">
        <w:rPr>
          <w:rFonts w:ascii="Times New Roman" w:hAnsi="Times New Roman" w:cs="Times New Roman"/>
          <w:sz w:val="24"/>
          <w:szCs w:val="24"/>
        </w:rPr>
        <w:t xml:space="preserve"> Según Garnsey y Saller</w:t>
      </w:r>
      <w:r w:rsidR="009A0F44" w:rsidRPr="004841FE">
        <w:rPr>
          <w:rFonts w:ascii="Times New Roman" w:hAnsi="Times New Roman" w:cs="Times New Roman"/>
          <w:sz w:val="24"/>
          <w:szCs w:val="24"/>
        </w:rPr>
        <w:t xml:space="preserve">, el Estado </w:t>
      </w:r>
      <w:r w:rsidR="00A37A72" w:rsidRPr="004841FE">
        <w:rPr>
          <w:rFonts w:ascii="Times New Roman" w:hAnsi="Times New Roman" w:cs="Times New Roman"/>
          <w:sz w:val="24"/>
          <w:szCs w:val="24"/>
        </w:rPr>
        <w:t>R</w:t>
      </w:r>
      <w:r w:rsidR="009A0F44" w:rsidRPr="004841FE">
        <w:rPr>
          <w:rFonts w:ascii="Times New Roman" w:hAnsi="Times New Roman" w:cs="Times New Roman"/>
          <w:sz w:val="24"/>
          <w:szCs w:val="24"/>
        </w:rPr>
        <w:t>omano se centraba en aspectos esenciales, por lo que los objetivos básicos del gobierno eran mantener la ley y recaudar impuestos</w:t>
      </w:r>
      <w:r w:rsidR="00026EA6" w:rsidRPr="004841FE">
        <w:rPr>
          <w:rFonts w:ascii="Times New Roman" w:hAnsi="Times New Roman" w:cs="Times New Roman"/>
          <w:sz w:val="24"/>
          <w:szCs w:val="24"/>
        </w:rPr>
        <w:t xml:space="preserve">, </w:t>
      </w:r>
      <w:r w:rsidR="005F68B3" w:rsidRPr="004841FE">
        <w:rPr>
          <w:rFonts w:ascii="Times New Roman" w:hAnsi="Times New Roman" w:cs="Times New Roman"/>
          <w:sz w:val="24"/>
          <w:szCs w:val="24"/>
        </w:rPr>
        <w:t>cuyas normas tributarias variaban</w:t>
      </w:r>
      <w:r w:rsidR="009A2980" w:rsidRPr="004841FE">
        <w:rPr>
          <w:rFonts w:ascii="Times New Roman" w:hAnsi="Times New Roman" w:cs="Times New Roman"/>
          <w:sz w:val="24"/>
          <w:szCs w:val="24"/>
        </w:rPr>
        <w:t xml:space="preserve"> según provincia</w:t>
      </w:r>
      <w:r w:rsidR="009A0F44" w:rsidRPr="004841FE">
        <w:rPr>
          <w:rFonts w:ascii="Times New Roman" w:hAnsi="Times New Roman" w:cs="Times New Roman"/>
          <w:sz w:val="24"/>
          <w:szCs w:val="24"/>
        </w:rPr>
        <w:t>.</w:t>
      </w:r>
      <w:r w:rsidR="001D7ACA" w:rsidRPr="004841FE">
        <w:rPr>
          <w:rFonts w:ascii="Times New Roman" w:hAnsi="Times New Roman" w:cs="Times New Roman"/>
          <w:sz w:val="24"/>
          <w:szCs w:val="24"/>
        </w:rPr>
        <w:t xml:space="preserve"> Asimismo, </w:t>
      </w:r>
      <w:r w:rsidR="006571F3" w:rsidRPr="004841FE">
        <w:rPr>
          <w:rFonts w:ascii="Times New Roman" w:hAnsi="Times New Roman" w:cs="Times New Roman"/>
          <w:sz w:val="24"/>
          <w:szCs w:val="24"/>
        </w:rPr>
        <w:t>ambos</w:t>
      </w:r>
      <w:r w:rsidR="001D7ACA" w:rsidRPr="004841FE">
        <w:rPr>
          <w:rFonts w:ascii="Times New Roman" w:hAnsi="Times New Roman" w:cs="Times New Roman"/>
          <w:sz w:val="24"/>
          <w:szCs w:val="24"/>
        </w:rPr>
        <w:t xml:space="preserve"> afirman que la economía de Roma, con su condición de subdesarrollada, era predominantemente agraria</w:t>
      </w:r>
      <w:r w:rsidR="001C6232" w:rsidRPr="004841FE">
        <w:rPr>
          <w:rFonts w:ascii="Times New Roman" w:hAnsi="Times New Roman" w:cs="Times New Roman"/>
          <w:sz w:val="24"/>
          <w:szCs w:val="24"/>
        </w:rPr>
        <w:t xml:space="preserve"> y el agro estaba controlado por grandes hacendados de fincas que practicaban el arrendamiento de tierras a </w:t>
      </w:r>
      <w:r w:rsidR="006571F3" w:rsidRPr="004841FE">
        <w:rPr>
          <w:rFonts w:ascii="Times New Roman" w:hAnsi="Times New Roman" w:cs="Times New Roman"/>
          <w:sz w:val="24"/>
          <w:szCs w:val="24"/>
        </w:rPr>
        <w:t>campesinos (</w:t>
      </w:r>
      <w:r w:rsidR="004816D4" w:rsidRPr="004841FE">
        <w:rPr>
          <w:rFonts w:ascii="Times New Roman" w:hAnsi="Times New Roman" w:cs="Times New Roman"/>
          <w:sz w:val="24"/>
          <w:szCs w:val="24"/>
        </w:rPr>
        <w:t xml:space="preserve">1991: </w:t>
      </w:r>
      <w:r w:rsidR="00F40C23" w:rsidRPr="004841FE">
        <w:rPr>
          <w:rFonts w:ascii="Times New Roman" w:hAnsi="Times New Roman" w:cs="Times New Roman"/>
          <w:sz w:val="24"/>
          <w:szCs w:val="24"/>
        </w:rPr>
        <w:t>32</w:t>
      </w:r>
      <w:r w:rsidR="009A2980" w:rsidRPr="004841FE">
        <w:rPr>
          <w:rFonts w:ascii="Times New Roman" w:hAnsi="Times New Roman" w:cs="Times New Roman"/>
          <w:sz w:val="24"/>
          <w:szCs w:val="24"/>
        </w:rPr>
        <w:t>-</w:t>
      </w:r>
      <w:r w:rsidR="00844434" w:rsidRPr="004841FE">
        <w:rPr>
          <w:rFonts w:ascii="Times New Roman" w:hAnsi="Times New Roman" w:cs="Times New Roman"/>
          <w:sz w:val="24"/>
          <w:szCs w:val="24"/>
        </w:rPr>
        <w:t>96</w:t>
      </w:r>
      <w:r w:rsidR="006571F3" w:rsidRPr="004841FE">
        <w:rPr>
          <w:rFonts w:ascii="Times New Roman" w:hAnsi="Times New Roman" w:cs="Times New Roman"/>
          <w:sz w:val="24"/>
          <w:szCs w:val="24"/>
        </w:rPr>
        <w:t>). En el antiguo imperio, también, se registra un patrón más urbano, especialmente en provincia</w:t>
      </w:r>
      <w:r w:rsidR="00711845" w:rsidRPr="004841FE">
        <w:rPr>
          <w:rFonts w:ascii="Times New Roman" w:hAnsi="Times New Roman" w:cs="Times New Roman"/>
          <w:sz w:val="24"/>
          <w:szCs w:val="24"/>
        </w:rPr>
        <w:t>s</w:t>
      </w:r>
      <w:r w:rsidR="006571F3" w:rsidRPr="004841FE">
        <w:rPr>
          <w:rFonts w:ascii="Times New Roman" w:hAnsi="Times New Roman" w:cs="Times New Roman"/>
          <w:sz w:val="24"/>
          <w:szCs w:val="24"/>
        </w:rPr>
        <w:t xml:space="preserve"> orientales, donde asentamientos humanos ganaban importancia y población por una variedad de motivos</w:t>
      </w:r>
      <w:r w:rsidR="00AB2865" w:rsidRPr="004841FE">
        <w:rPr>
          <w:rFonts w:ascii="Times New Roman" w:hAnsi="Times New Roman" w:cs="Times New Roman"/>
          <w:sz w:val="24"/>
          <w:szCs w:val="24"/>
        </w:rPr>
        <w:t>,</w:t>
      </w:r>
      <w:r w:rsidR="006571F3" w:rsidRPr="004841FE">
        <w:rPr>
          <w:rFonts w:ascii="Times New Roman" w:hAnsi="Times New Roman" w:cs="Times New Roman"/>
          <w:sz w:val="24"/>
          <w:szCs w:val="24"/>
        </w:rPr>
        <w:t xml:space="preserve"> y continuaban </w:t>
      </w:r>
      <w:r w:rsidR="00AB2865" w:rsidRPr="004841FE">
        <w:rPr>
          <w:rFonts w:ascii="Times New Roman" w:hAnsi="Times New Roman" w:cs="Times New Roman"/>
          <w:sz w:val="24"/>
          <w:szCs w:val="24"/>
        </w:rPr>
        <w:t xml:space="preserve">el legado </w:t>
      </w:r>
      <w:r w:rsidR="00351323" w:rsidRPr="004841FE">
        <w:rPr>
          <w:rFonts w:ascii="Times New Roman" w:hAnsi="Times New Roman" w:cs="Times New Roman"/>
          <w:sz w:val="24"/>
          <w:szCs w:val="24"/>
        </w:rPr>
        <w:t>helénic</w:t>
      </w:r>
      <w:r w:rsidR="00AB2865" w:rsidRPr="004841FE">
        <w:rPr>
          <w:rFonts w:ascii="Times New Roman" w:hAnsi="Times New Roman" w:cs="Times New Roman"/>
          <w:sz w:val="24"/>
          <w:szCs w:val="24"/>
        </w:rPr>
        <w:t>o</w:t>
      </w:r>
      <w:r w:rsidR="00AD0F90" w:rsidRPr="004841FE">
        <w:rPr>
          <w:rFonts w:ascii="Times New Roman" w:hAnsi="Times New Roman" w:cs="Times New Roman"/>
          <w:sz w:val="24"/>
          <w:szCs w:val="24"/>
        </w:rPr>
        <w:t xml:space="preserve"> </w:t>
      </w:r>
      <w:r w:rsidR="006144FB" w:rsidRPr="004841FE">
        <w:rPr>
          <w:rFonts w:ascii="Times New Roman" w:hAnsi="Times New Roman" w:cs="Times New Roman"/>
          <w:sz w:val="24"/>
          <w:szCs w:val="24"/>
        </w:rPr>
        <w:t>de ciudad</w:t>
      </w:r>
      <w:r w:rsidR="00351323" w:rsidRPr="004841FE">
        <w:rPr>
          <w:rFonts w:ascii="Times New Roman" w:hAnsi="Times New Roman" w:cs="Times New Roman"/>
          <w:sz w:val="24"/>
          <w:szCs w:val="24"/>
        </w:rPr>
        <w:t xml:space="preserve">, en contraste con la menor densidad demográfica del oeste </w:t>
      </w:r>
      <w:r w:rsidR="006144FB" w:rsidRPr="004841FE">
        <w:rPr>
          <w:rFonts w:ascii="Times New Roman" w:hAnsi="Times New Roman" w:cs="Times New Roman"/>
          <w:sz w:val="24"/>
          <w:szCs w:val="24"/>
        </w:rPr>
        <w:t xml:space="preserve">europeo </w:t>
      </w:r>
      <w:r w:rsidR="00866307" w:rsidRPr="004841FE">
        <w:rPr>
          <w:rFonts w:ascii="Times New Roman" w:hAnsi="Times New Roman" w:cs="Times New Roman"/>
          <w:sz w:val="24"/>
          <w:szCs w:val="24"/>
        </w:rPr>
        <w:t>clásico</w:t>
      </w:r>
      <w:r w:rsidR="0052723A" w:rsidRPr="004841FE">
        <w:rPr>
          <w:rFonts w:ascii="Times New Roman" w:hAnsi="Times New Roman" w:cs="Times New Roman"/>
          <w:sz w:val="24"/>
          <w:szCs w:val="24"/>
        </w:rPr>
        <w:t xml:space="preserve"> </w:t>
      </w:r>
      <w:r w:rsidR="00AD0F90" w:rsidRPr="004841FE">
        <w:rPr>
          <w:rFonts w:ascii="Times New Roman" w:hAnsi="Times New Roman" w:cs="Times New Roman"/>
          <w:sz w:val="24"/>
          <w:szCs w:val="24"/>
        </w:rPr>
        <w:t>(</w:t>
      </w:r>
      <w:r w:rsidR="009A2980" w:rsidRPr="004841FE">
        <w:rPr>
          <w:rFonts w:ascii="Times New Roman" w:hAnsi="Times New Roman" w:cs="Times New Roman"/>
          <w:sz w:val="24"/>
          <w:szCs w:val="24"/>
        </w:rPr>
        <w:t>Garnsey &amp; Saller 1991: 48-54</w:t>
      </w:r>
      <w:r w:rsidR="00D33F17" w:rsidRPr="004841FE">
        <w:rPr>
          <w:rFonts w:ascii="Times New Roman" w:hAnsi="Times New Roman" w:cs="Times New Roman"/>
          <w:sz w:val="24"/>
          <w:szCs w:val="24"/>
        </w:rPr>
        <w:t>; Pounds 2005: 7-8</w:t>
      </w:r>
      <w:r w:rsidR="00AD0F90" w:rsidRPr="004841FE">
        <w:rPr>
          <w:rFonts w:ascii="Times New Roman" w:hAnsi="Times New Roman" w:cs="Times New Roman"/>
          <w:sz w:val="24"/>
          <w:szCs w:val="24"/>
        </w:rPr>
        <w:t>).</w:t>
      </w:r>
      <w:r w:rsidR="009F1960" w:rsidRPr="004841FE">
        <w:rPr>
          <w:rFonts w:ascii="Times New Roman" w:hAnsi="Times New Roman" w:cs="Times New Roman"/>
          <w:sz w:val="24"/>
          <w:szCs w:val="24"/>
        </w:rPr>
        <w:t xml:space="preserve"> Al caer el Imperio Romano Occidental, el modelo per</w:t>
      </w:r>
      <w:r w:rsidR="00E40458" w:rsidRPr="004841FE">
        <w:rPr>
          <w:rFonts w:ascii="Times New Roman" w:hAnsi="Times New Roman" w:cs="Times New Roman"/>
          <w:sz w:val="24"/>
          <w:szCs w:val="24"/>
        </w:rPr>
        <w:t>maneció</w:t>
      </w:r>
      <w:r w:rsidR="009F1960" w:rsidRPr="004841FE">
        <w:rPr>
          <w:rFonts w:ascii="Times New Roman" w:hAnsi="Times New Roman" w:cs="Times New Roman"/>
          <w:sz w:val="24"/>
          <w:szCs w:val="24"/>
        </w:rPr>
        <w:t xml:space="preserve"> en su mayoría igual en </w:t>
      </w:r>
      <w:r w:rsidR="006144FB" w:rsidRPr="004841FE">
        <w:rPr>
          <w:rFonts w:ascii="Times New Roman" w:hAnsi="Times New Roman" w:cs="Times New Roman"/>
          <w:sz w:val="24"/>
          <w:szCs w:val="24"/>
        </w:rPr>
        <w:t xml:space="preserve">Bizancio </w:t>
      </w:r>
      <w:r w:rsidR="009F1960" w:rsidRPr="004841FE">
        <w:rPr>
          <w:rFonts w:ascii="Times New Roman" w:hAnsi="Times New Roman" w:cs="Times New Roman"/>
          <w:sz w:val="24"/>
          <w:szCs w:val="24"/>
        </w:rPr>
        <w:t>y el consenso común que fuentes generalizadas como Britannica o Khan Academy suelen explicar es que el primer gran cambio se efectuó recién durante el mandato de Justiniano con el Corpus Iuris Civilis, la más importante recopilación de derecho romano</w:t>
      </w:r>
      <w:r w:rsidR="00A944BA" w:rsidRPr="004841FE">
        <w:rPr>
          <w:rFonts w:ascii="Times New Roman" w:hAnsi="Times New Roman" w:cs="Times New Roman"/>
          <w:sz w:val="24"/>
          <w:szCs w:val="24"/>
        </w:rPr>
        <w:t xml:space="preserve"> (</w:t>
      </w:r>
      <w:r w:rsidR="00D33F17" w:rsidRPr="004841FE">
        <w:rPr>
          <w:rFonts w:ascii="Times New Roman" w:hAnsi="Times New Roman" w:cs="Times New Roman"/>
          <w:sz w:val="24"/>
          <w:szCs w:val="24"/>
        </w:rPr>
        <w:t xml:space="preserve">MacGillivray &amp; Teall 2020; </w:t>
      </w:r>
      <w:r w:rsidR="007D39F4" w:rsidRPr="004841FE">
        <w:rPr>
          <w:rFonts w:ascii="Times New Roman" w:hAnsi="Times New Roman" w:cs="Times New Roman"/>
          <w:sz w:val="24"/>
          <w:szCs w:val="24"/>
        </w:rPr>
        <w:t>Khan Academy 2020</w:t>
      </w:r>
      <w:r w:rsidR="00A944BA" w:rsidRPr="004841FE">
        <w:rPr>
          <w:rFonts w:ascii="Times New Roman" w:hAnsi="Times New Roman" w:cs="Times New Roman"/>
          <w:sz w:val="24"/>
          <w:szCs w:val="24"/>
        </w:rPr>
        <w:t>)</w:t>
      </w:r>
      <w:r w:rsidR="009F1960" w:rsidRPr="004841FE">
        <w:rPr>
          <w:rFonts w:ascii="Times New Roman" w:hAnsi="Times New Roman" w:cs="Times New Roman"/>
          <w:sz w:val="24"/>
          <w:szCs w:val="24"/>
        </w:rPr>
        <w:t>.</w:t>
      </w:r>
      <w:r w:rsidR="00A944BA" w:rsidRPr="004841FE">
        <w:rPr>
          <w:rFonts w:ascii="Times New Roman" w:hAnsi="Times New Roman" w:cs="Times New Roman"/>
          <w:sz w:val="24"/>
          <w:szCs w:val="24"/>
        </w:rPr>
        <w:t xml:space="preserve"> Además de esa única diferencia en cuanto a lo judicial, no hubo mayores contrastes de Estado entre la antigua Roma y Bizancio antes de la Plaga Justiniana.</w:t>
      </w:r>
    </w:p>
    <w:p w14:paraId="4F4C41DC" w14:textId="6CE6A1C0" w:rsidR="00A944BA" w:rsidRPr="004841FE" w:rsidRDefault="00A3169A"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lastRenderedPageBreak/>
        <w:t>Según un estudio realizado por la Academia Nacional de Ciencias de E.E.U.U., durante la duración de la plaga</w:t>
      </w:r>
      <w:r w:rsidR="00216450" w:rsidRPr="004841FE">
        <w:rPr>
          <w:rFonts w:ascii="Times New Roman" w:hAnsi="Times New Roman" w:cs="Times New Roman"/>
          <w:sz w:val="24"/>
          <w:szCs w:val="24"/>
        </w:rPr>
        <w:t xml:space="preserve"> inicial, </w:t>
      </w:r>
      <w:r w:rsidR="00AB2865" w:rsidRPr="004841FE">
        <w:rPr>
          <w:rFonts w:ascii="Times New Roman" w:hAnsi="Times New Roman" w:cs="Times New Roman"/>
          <w:sz w:val="24"/>
          <w:szCs w:val="24"/>
        </w:rPr>
        <w:t xml:space="preserve">del 541 d.C. </w:t>
      </w:r>
      <w:r w:rsidR="00216450" w:rsidRPr="004841FE">
        <w:rPr>
          <w:rFonts w:ascii="Times New Roman" w:hAnsi="Times New Roman" w:cs="Times New Roman"/>
          <w:sz w:val="24"/>
          <w:szCs w:val="24"/>
        </w:rPr>
        <w:t>hasta el 548 d.C.</w:t>
      </w:r>
      <w:r w:rsidRPr="004841FE">
        <w:rPr>
          <w:rFonts w:ascii="Times New Roman" w:hAnsi="Times New Roman" w:cs="Times New Roman"/>
          <w:sz w:val="24"/>
          <w:szCs w:val="24"/>
        </w:rPr>
        <w:t xml:space="preserve">, la </w:t>
      </w:r>
      <w:r w:rsidR="00EA2318" w:rsidRPr="004841FE">
        <w:rPr>
          <w:rFonts w:ascii="Times New Roman" w:hAnsi="Times New Roman" w:cs="Times New Roman"/>
          <w:sz w:val="24"/>
          <w:szCs w:val="24"/>
        </w:rPr>
        <w:t>moneda o la promulgación de leyes no se vieron afectadas por la plaga</w:t>
      </w:r>
      <w:r w:rsidR="00216450" w:rsidRPr="004841FE">
        <w:rPr>
          <w:rFonts w:ascii="Times New Roman" w:hAnsi="Times New Roman" w:cs="Times New Roman"/>
          <w:sz w:val="24"/>
          <w:szCs w:val="24"/>
        </w:rPr>
        <w:t xml:space="preserve"> (</w:t>
      </w:r>
      <w:r w:rsidR="00E16E10" w:rsidRPr="004841FE">
        <w:rPr>
          <w:rFonts w:ascii="Times New Roman" w:hAnsi="Times New Roman" w:cs="Times New Roman"/>
          <w:sz w:val="24"/>
          <w:szCs w:val="24"/>
        </w:rPr>
        <w:t>Eisenberg et al. 2019</w:t>
      </w:r>
      <w:r w:rsidR="00216450" w:rsidRPr="004841FE">
        <w:rPr>
          <w:rFonts w:ascii="Times New Roman" w:hAnsi="Times New Roman" w:cs="Times New Roman"/>
          <w:sz w:val="24"/>
          <w:szCs w:val="24"/>
        </w:rPr>
        <w:t>)</w:t>
      </w:r>
      <w:r w:rsidR="00EA2318" w:rsidRPr="004841FE">
        <w:rPr>
          <w:rFonts w:ascii="Times New Roman" w:hAnsi="Times New Roman" w:cs="Times New Roman"/>
          <w:sz w:val="24"/>
          <w:szCs w:val="24"/>
        </w:rPr>
        <w:t xml:space="preserve">. </w:t>
      </w:r>
      <w:r w:rsidR="001B5417" w:rsidRPr="004841FE">
        <w:rPr>
          <w:rFonts w:ascii="Times New Roman" w:hAnsi="Times New Roman" w:cs="Times New Roman"/>
          <w:sz w:val="24"/>
          <w:szCs w:val="24"/>
        </w:rPr>
        <w:t xml:space="preserve">A pesar de una fuerte inflación inicial, </w:t>
      </w:r>
      <w:r w:rsidR="00F9004A" w:rsidRPr="004841FE">
        <w:rPr>
          <w:rFonts w:ascii="Times New Roman" w:hAnsi="Times New Roman" w:cs="Times New Roman"/>
          <w:sz w:val="24"/>
          <w:szCs w:val="24"/>
        </w:rPr>
        <w:t>el control de precios de Justiniano en 544 d.C. pareció arreglar la situación (</w:t>
      </w:r>
      <w:r w:rsidR="00E16E10" w:rsidRPr="004841FE">
        <w:rPr>
          <w:rFonts w:ascii="Times New Roman" w:hAnsi="Times New Roman" w:cs="Times New Roman"/>
          <w:sz w:val="24"/>
          <w:szCs w:val="24"/>
        </w:rPr>
        <w:t>Allen 1979: 16</w:t>
      </w:r>
      <w:r w:rsidR="00F9004A" w:rsidRPr="004841FE">
        <w:rPr>
          <w:rFonts w:ascii="Times New Roman" w:hAnsi="Times New Roman" w:cs="Times New Roman"/>
          <w:sz w:val="24"/>
          <w:szCs w:val="24"/>
        </w:rPr>
        <w:t xml:space="preserve">). </w:t>
      </w:r>
      <w:r w:rsidR="00EA2318" w:rsidRPr="004841FE">
        <w:rPr>
          <w:rFonts w:ascii="Times New Roman" w:hAnsi="Times New Roman" w:cs="Times New Roman"/>
          <w:sz w:val="24"/>
          <w:szCs w:val="24"/>
        </w:rPr>
        <w:t xml:space="preserve">Además, aunque </w:t>
      </w:r>
      <w:r w:rsidR="00216450" w:rsidRPr="004841FE">
        <w:rPr>
          <w:rFonts w:ascii="Times New Roman" w:hAnsi="Times New Roman" w:cs="Times New Roman"/>
          <w:sz w:val="24"/>
          <w:szCs w:val="24"/>
        </w:rPr>
        <w:t>el registro militar de los primeros años de la plaga sí evidenció efectos adversos</w:t>
      </w:r>
      <w:r w:rsidR="00AB2865" w:rsidRPr="004841FE">
        <w:rPr>
          <w:rFonts w:ascii="Times New Roman" w:hAnsi="Times New Roman" w:cs="Times New Roman"/>
          <w:sz w:val="24"/>
          <w:szCs w:val="24"/>
        </w:rPr>
        <w:t xml:space="preserve"> por esta</w:t>
      </w:r>
      <w:r w:rsidR="00216450" w:rsidRPr="004841FE">
        <w:rPr>
          <w:rFonts w:ascii="Times New Roman" w:hAnsi="Times New Roman" w:cs="Times New Roman"/>
          <w:sz w:val="24"/>
          <w:szCs w:val="24"/>
        </w:rPr>
        <w:t xml:space="preserve">, </w:t>
      </w:r>
      <w:r w:rsidR="007736A4" w:rsidRPr="004841FE">
        <w:rPr>
          <w:rFonts w:ascii="Times New Roman" w:hAnsi="Times New Roman" w:cs="Times New Roman"/>
          <w:sz w:val="24"/>
          <w:szCs w:val="24"/>
        </w:rPr>
        <w:t>a finales de la década</w:t>
      </w:r>
      <w:r w:rsidR="00216450" w:rsidRPr="004841FE">
        <w:rPr>
          <w:rFonts w:ascii="Times New Roman" w:hAnsi="Times New Roman" w:cs="Times New Roman"/>
          <w:sz w:val="24"/>
          <w:szCs w:val="24"/>
        </w:rPr>
        <w:t xml:space="preserve"> los logros </w:t>
      </w:r>
      <w:r w:rsidR="00AB2865" w:rsidRPr="004841FE">
        <w:rPr>
          <w:rFonts w:ascii="Times New Roman" w:hAnsi="Times New Roman" w:cs="Times New Roman"/>
          <w:sz w:val="24"/>
          <w:szCs w:val="24"/>
        </w:rPr>
        <w:t>bélicos</w:t>
      </w:r>
      <w:r w:rsidR="00216450" w:rsidRPr="004841FE">
        <w:rPr>
          <w:rFonts w:ascii="Times New Roman" w:hAnsi="Times New Roman" w:cs="Times New Roman"/>
          <w:sz w:val="24"/>
          <w:szCs w:val="24"/>
        </w:rPr>
        <w:t xml:space="preserve"> continuaron </w:t>
      </w:r>
      <w:r w:rsidR="00AB2865" w:rsidRPr="004841FE">
        <w:rPr>
          <w:rFonts w:ascii="Times New Roman" w:hAnsi="Times New Roman" w:cs="Times New Roman"/>
          <w:sz w:val="24"/>
          <w:szCs w:val="24"/>
        </w:rPr>
        <w:t>con el mismo modelo militar</w:t>
      </w:r>
      <w:r w:rsidR="00440F45" w:rsidRPr="004841FE">
        <w:rPr>
          <w:rFonts w:ascii="Times New Roman" w:hAnsi="Times New Roman" w:cs="Times New Roman"/>
          <w:sz w:val="24"/>
          <w:szCs w:val="24"/>
        </w:rPr>
        <w:t xml:space="preserve">, cuya fuerza principal eran los mismos bizantinos </w:t>
      </w:r>
      <w:r w:rsidR="00216450" w:rsidRPr="004841FE">
        <w:rPr>
          <w:rFonts w:ascii="Times New Roman" w:hAnsi="Times New Roman" w:cs="Times New Roman"/>
          <w:sz w:val="24"/>
          <w:szCs w:val="24"/>
        </w:rPr>
        <w:t>(</w:t>
      </w:r>
      <w:r w:rsidR="00E16E10" w:rsidRPr="004841FE">
        <w:rPr>
          <w:rFonts w:ascii="Times New Roman" w:hAnsi="Times New Roman" w:cs="Times New Roman"/>
          <w:sz w:val="24"/>
          <w:szCs w:val="24"/>
        </w:rPr>
        <w:t>Allen 1979: 17; MacGillivray &amp; Teall 2020</w:t>
      </w:r>
      <w:r w:rsidR="00216450" w:rsidRPr="004841FE">
        <w:rPr>
          <w:rFonts w:ascii="Times New Roman" w:hAnsi="Times New Roman" w:cs="Times New Roman"/>
          <w:sz w:val="24"/>
          <w:szCs w:val="24"/>
        </w:rPr>
        <w:t>). Entonces, parec</w:t>
      </w:r>
      <w:r w:rsidR="004C02BC" w:rsidRPr="004841FE">
        <w:rPr>
          <w:rFonts w:ascii="Times New Roman" w:hAnsi="Times New Roman" w:cs="Times New Roman"/>
          <w:sz w:val="24"/>
          <w:szCs w:val="24"/>
        </w:rPr>
        <w:t>iera</w:t>
      </w:r>
      <w:r w:rsidR="00216450" w:rsidRPr="004841FE">
        <w:rPr>
          <w:rFonts w:ascii="Times New Roman" w:hAnsi="Times New Roman" w:cs="Times New Roman"/>
          <w:sz w:val="24"/>
          <w:szCs w:val="24"/>
        </w:rPr>
        <w:t xml:space="preserve"> que la plaga no afectó en mucho la composición del Estado y, de manera inmediata, la evidencia muestra que ese es el caso. No obstante, el efecto innegable que la Plaga Justiniana tuvo fue el descenso demográfico y las consecuencias que este factor traerían a largo plazo son las que conducirían a un cambio del </w:t>
      </w:r>
      <w:r w:rsidR="00A37A72" w:rsidRPr="004841FE">
        <w:rPr>
          <w:rFonts w:ascii="Times New Roman" w:hAnsi="Times New Roman" w:cs="Times New Roman"/>
          <w:sz w:val="24"/>
          <w:szCs w:val="24"/>
        </w:rPr>
        <w:t>Estado Bizantino</w:t>
      </w:r>
      <w:r w:rsidR="00216450" w:rsidRPr="004841FE">
        <w:rPr>
          <w:rFonts w:ascii="Times New Roman" w:hAnsi="Times New Roman" w:cs="Times New Roman"/>
          <w:sz w:val="24"/>
          <w:szCs w:val="24"/>
        </w:rPr>
        <w:t>.</w:t>
      </w:r>
    </w:p>
    <w:p w14:paraId="6CB445B0" w14:textId="41DAB9D1" w:rsidR="00216450" w:rsidRPr="004841FE" w:rsidRDefault="001F40BC"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 xml:space="preserve">Según </w:t>
      </w:r>
      <w:r w:rsidR="00A37A72" w:rsidRPr="004841FE">
        <w:rPr>
          <w:rFonts w:ascii="Times New Roman" w:hAnsi="Times New Roman" w:cs="Times New Roman"/>
          <w:sz w:val="24"/>
          <w:szCs w:val="24"/>
        </w:rPr>
        <w:t>la historiadora Pauline Allen,</w:t>
      </w:r>
      <w:r w:rsidRPr="004841FE">
        <w:rPr>
          <w:rFonts w:ascii="Times New Roman" w:hAnsi="Times New Roman" w:cs="Times New Roman"/>
          <w:sz w:val="24"/>
          <w:szCs w:val="24"/>
        </w:rPr>
        <w:t xml:space="preserve"> los autores bizantinos que documentaron la plaga de manera completa fueron Procopio de Cesarea, Juan de Éfeso y Evagrio Escolástico (</w:t>
      </w:r>
      <w:r w:rsidR="007B5F6D" w:rsidRPr="004841FE">
        <w:rPr>
          <w:rFonts w:ascii="Times New Roman" w:hAnsi="Times New Roman" w:cs="Times New Roman"/>
          <w:sz w:val="24"/>
          <w:szCs w:val="24"/>
        </w:rPr>
        <w:t>1979: 5-6</w:t>
      </w:r>
      <w:r w:rsidRPr="004841FE">
        <w:rPr>
          <w:rFonts w:ascii="Times New Roman" w:hAnsi="Times New Roman" w:cs="Times New Roman"/>
          <w:sz w:val="24"/>
          <w:szCs w:val="24"/>
        </w:rPr>
        <w:t>).</w:t>
      </w:r>
      <w:r w:rsidR="001B5417" w:rsidRPr="004841FE">
        <w:rPr>
          <w:rFonts w:ascii="Times New Roman" w:hAnsi="Times New Roman" w:cs="Times New Roman"/>
          <w:sz w:val="24"/>
          <w:szCs w:val="24"/>
        </w:rPr>
        <w:t xml:space="preserve"> Según Juan, solo en Constantinopla, la plaga empezó matando a 5</w:t>
      </w:r>
      <w:r w:rsidR="003F379D" w:rsidRPr="004841FE">
        <w:rPr>
          <w:rFonts w:ascii="Times New Roman" w:hAnsi="Times New Roman" w:cs="Times New Roman"/>
          <w:sz w:val="24"/>
          <w:szCs w:val="24"/>
        </w:rPr>
        <w:t xml:space="preserve"> </w:t>
      </w:r>
      <w:r w:rsidR="001B5417" w:rsidRPr="004841FE">
        <w:rPr>
          <w:rFonts w:ascii="Times New Roman" w:hAnsi="Times New Roman" w:cs="Times New Roman"/>
          <w:sz w:val="24"/>
          <w:szCs w:val="24"/>
        </w:rPr>
        <w:t>000 personas diarias y el número llegó a subir a 16</w:t>
      </w:r>
      <w:r w:rsidR="003F379D" w:rsidRPr="004841FE">
        <w:rPr>
          <w:rFonts w:ascii="Times New Roman" w:hAnsi="Times New Roman" w:cs="Times New Roman"/>
          <w:sz w:val="24"/>
          <w:szCs w:val="24"/>
        </w:rPr>
        <w:t xml:space="preserve"> </w:t>
      </w:r>
      <w:r w:rsidR="001B5417" w:rsidRPr="004841FE">
        <w:rPr>
          <w:rFonts w:ascii="Times New Roman" w:hAnsi="Times New Roman" w:cs="Times New Roman"/>
          <w:sz w:val="24"/>
          <w:szCs w:val="24"/>
        </w:rPr>
        <w:t>000, acumulando un total de más de</w:t>
      </w:r>
      <w:r w:rsidR="003F379D" w:rsidRPr="004841FE">
        <w:rPr>
          <w:rFonts w:ascii="Times New Roman" w:hAnsi="Times New Roman" w:cs="Times New Roman"/>
          <w:sz w:val="24"/>
          <w:szCs w:val="24"/>
        </w:rPr>
        <w:t xml:space="preserve"> </w:t>
      </w:r>
      <w:r w:rsidR="001B5417" w:rsidRPr="004841FE">
        <w:rPr>
          <w:rFonts w:ascii="Times New Roman" w:hAnsi="Times New Roman" w:cs="Times New Roman"/>
          <w:sz w:val="24"/>
          <w:szCs w:val="24"/>
        </w:rPr>
        <w:t>230</w:t>
      </w:r>
      <w:r w:rsidR="003F379D" w:rsidRPr="004841FE">
        <w:rPr>
          <w:rFonts w:ascii="Times New Roman" w:hAnsi="Times New Roman" w:cs="Times New Roman"/>
          <w:sz w:val="24"/>
          <w:szCs w:val="24"/>
        </w:rPr>
        <w:t xml:space="preserve"> </w:t>
      </w:r>
      <w:r w:rsidR="001B5417" w:rsidRPr="004841FE">
        <w:rPr>
          <w:rFonts w:ascii="Times New Roman" w:hAnsi="Times New Roman" w:cs="Times New Roman"/>
          <w:sz w:val="24"/>
          <w:szCs w:val="24"/>
        </w:rPr>
        <w:t>000 fallecidos hasta que</w:t>
      </w:r>
      <w:r w:rsidR="00A37A72" w:rsidRPr="004841FE">
        <w:rPr>
          <w:rFonts w:ascii="Times New Roman" w:hAnsi="Times New Roman" w:cs="Times New Roman"/>
          <w:sz w:val="24"/>
          <w:szCs w:val="24"/>
        </w:rPr>
        <w:t>, según él,</w:t>
      </w:r>
      <w:r w:rsidR="001B5417" w:rsidRPr="004841FE">
        <w:rPr>
          <w:rFonts w:ascii="Times New Roman" w:hAnsi="Times New Roman" w:cs="Times New Roman"/>
          <w:sz w:val="24"/>
          <w:szCs w:val="24"/>
        </w:rPr>
        <w:t xml:space="preserve"> se dejaron de contar</w:t>
      </w:r>
      <w:r w:rsidR="00690637" w:rsidRPr="004841FE">
        <w:rPr>
          <w:rFonts w:ascii="Times New Roman" w:hAnsi="Times New Roman" w:cs="Times New Roman"/>
          <w:sz w:val="24"/>
          <w:szCs w:val="24"/>
        </w:rPr>
        <w:t xml:space="preserve"> los cuerpos</w:t>
      </w:r>
      <w:r w:rsidR="003F379D" w:rsidRPr="004841FE">
        <w:rPr>
          <w:rFonts w:ascii="Times New Roman" w:hAnsi="Times New Roman" w:cs="Times New Roman"/>
          <w:sz w:val="24"/>
          <w:szCs w:val="24"/>
        </w:rPr>
        <w:t xml:space="preserve">. </w:t>
      </w:r>
      <w:r w:rsidR="00A37A72" w:rsidRPr="004841FE">
        <w:rPr>
          <w:rFonts w:ascii="Times New Roman" w:hAnsi="Times New Roman" w:cs="Times New Roman"/>
          <w:sz w:val="24"/>
          <w:szCs w:val="24"/>
        </w:rPr>
        <w:t>Se cree que los testimonios de Juan pueden haber sido romantizados</w:t>
      </w:r>
      <w:r w:rsidR="003F379D" w:rsidRPr="004841FE">
        <w:rPr>
          <w:rFonts w:ascii="Times New Roman" w:hAnsi="Times New Roman" w:cs="Times New Roman"/>
          <w:sz w:val="24"/>
          <w:szCs w:val="24"/>
        </w:rPr>
        <w:t xml:space="preserve">, pero incluso las cifras </w:t>
      </w:r>
      <w:r w:rsidR="00A37A72" w:rsidRPr="004841FE">
        <w:rPr>
          <w:rFonts w:ascii="Times New Roman" w:hAnsi="Times New Roman" w:cs="Times New Roman"/>
          <w:sz w:val="24"/>
          <w:szCs w:val="24"/>
        </w:rPr>
        <w:t xml:space="preserve">más sobrias </w:t>
      </w:r>
      <w:r w:rsidR="003F379D" w:rsidRPr="004841FE">
        <w:rPr>
          <w:rFonts w:ascii="Times New Roman" w:hAnsi="Times New Roman" w:cs="Times New Roman"/>
          <w:sz w:val="24"/>
          <w:szCs w:val="24"/>
        </w:rPr>
        <w:t>de Procopio, quien menciona que solo se llegó a 10 000 muertos diarios, aproximan el número de fallecidos a 244 000</w:t>
      </w:r>
      <w:r w:rsidR="00690637" w:rsidRPr="004841FE">
        <w:rPr>
          <w:rFonts w:ascii="Times New Roman" w:hAnsi="Times New Roman" w:cs="Times New Roman"/>
          <w:sz w:val="24"/>
          <w:szCs w:val="24"/>
        </w:rPr>
        <w:t xml:space="preserve"> de </w:t>
      </w:r>
      <w:r w:rsidR="00FF5484" w:rsidRPr="004841FE">
        <w:rPr>
          <w:rFonts w:ascii="Times New Roman" w:hAnsi="Times New Roman" w:cs="Times New Roman"/>
          <w:sz w:val="24"/>
          <w:szCs w:val="24"/>
        </w:rPr>
        <w:t>508 000 habitantes</w:t>
      </w:r>
      <w:r w:rsidR="00690637" w:rsidRPr="004841FE">
        <w:rPr>
          <w:rFonts w:ascii="Times New Roman" w:hAnsi="Times New Roman" w:cs="Times New Roman"/>
          <w:sz w:val="24"/>
          <w:szCs w:val="24"/>
        </w:rPr>
        <w:t xml:space="preserve">. Aunque el número parezca muy alto, es verdad que las plagas eran mucho más efectivas en ámbitos urbanos y fuentes árabes del siglo VII también describen alta mortalidad en urbes. La tasa de </w:t>
      </w:r>
      <w:r w:rsidR="004833B3" w:rsidRPr="004841FE">
        <w:rPr>
          <w:rFonts w:ascii="Times New Roman" w:hAnsi="Times New Roman" w:cs="Times New Roman"/>
          <w:sz w:val="24"/>
          <w:szCs w:val="24"/>
        </w:rPr>
        <w:t>mortalidad</w:t>
      </w:r>
      <w:r w:rsidR="00690637" w:rsidRPr="004841FE">
        <w:rPr>
          <w:rFonts w:ascii="Times New Roman" w:hAnsi="Times New Roman" w:cs="Times New Roman"/>
          <w:sz w:val="24"/>
          <w:szCs w:val="24"/>
        </w:rPr>
        <w:t xml:space="preserve"> de la plaga, entonces</w:t>
      </w:r>
      <w:r w:rsidR="008C7FDE" w:rsidRPr="004841FE">
        <w:rPr>
          <w:rFonts w:ascii="Times New Roman" w:hAnsi="Times New Roman" w:cs="Times New Roman"/>
          <w:sz w:val="24"/>
          <w:szCs w:val="24"/>
        </w:rPr>
        <w:t>,</w:t>
      </w:r>
      <w:r w:rsidR="00690637" w:rsidRPr="004841FE">
        <w:rPr>
          <w:rFonts w:ascii="Times New Roman" w:hAnsi="Times New Roman" w:cs="Times New Roman"/>
          <w:sz w:val="24"/>
          <w:szCs w:val="24"/>
        </w:rPr>
        <w:t xml:space="preserve"> se estima en un 57% para Constantinopla y aproximadamente 1/3 para la población total. Evagrio, por otro lado, menciona que ciudades y pueblos despoblados durante la plaga solo podrían ser repoblados por el año 579 d.C. a base de cautivos persas (</w:t>
      </w:r>
      <w:r w:rsidR="007B5F6D" w:rsidRPr="004841FE">
        <w:rPr>
          <w:rFonts w:ascii="Times New Roman" w:hAnsi="Times New Roman" w:cs="Times New Roman"/>
          <w:sz w:val="24"/>
          <w:szCs w:val="24"/>
        </w:rPr>
        <w:t>Allen 1979: 10-17</w:t>
      </w:r>
      <w:r w:rsidR="00690637" w:rsidRPr="004841FE">
        <w:rPr>
          <w:rFonts w:ascii="Times New Roman" w:hAnsi="Times New Roman" w:cs="Times New Roman"/>
          <w:sz w:val="24"/>
          <w:szCs w:val="24"/>
        </w:rPr>
        <w:t>).</w:t>
      </w:r>
    </w:p>
    <w:p w14:paraId="31F6C4CE" w14:textId="1B09FEDD" w:rsidR="00AB4155" w:rsidRPr="004841FE" w:rsidRDefault="00340200"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 xml:space="preserve">El descenso demográfico implicó consecuencias </w:t>
      </w:r>
      <w:r w:rsidR="00BA18A1" w:rsidRPr="004841FE">
        <w:rPr>
          <w:rFonts w:ascii="Times New Roman" w:hAnsi="Times New Roman" w:cs="Times New Roman"/>
          <w:sz w:val="24"/>
          <w:szCs w:val="24"/>
        </w:rPr>
        <w:t xml:space="preserve">agrarias </w:t>
      </w:r>
      <w:r w:rsidRPr="004841FE">
        <w:rPr>
          <w:rFonts w:ascii="Times New Roman" w:hAnsi="Times New Roman" w:cs="Times New Roman"/>
          <w:sz w:val="24"/>
          <w:szCs w:val="24"/>
        </w:rPr>
        <w:t xml:space="preserve">en las décadas siguientes. </w:t>
      </w:r>
      <w:r w:rsidR="00BA18A1" w:rsidRPr="004841FE">
        <w:rPr>
          <w:rFonts w:ascii="Times New Roman" w:hAnsi="Times New Roman" w:cs="Times New Roman"/>
          <w:sz w:val="24"/>
          <w:szCs w:val="24"/>
        </w:rPr>
        <w:t>La</w:t>
      </w:r>
      <w:r w:rsidR="00890005" w:rsidRPr="004841FE">
        <w:rPr>
          <w:rFonts w:ascii="Times New Roman" w:hAnsi="Times New Roman" w:cs="Times New Roman"/>
          <w:sz w:val="24"/>
          <w:szCs w:val="24"/>
        </w:rPr>
        <w:t xml:space="preserve"> plaga generó una recesión rural que dejó varias tierras en desuso </w:t>
      </w:r>
      <w:r w:rsidR="007A7E49" w:rsidRPr="004841FE">
        <w:rPr>
          <w:rFonts w:ascii="Times New Roman" w:hAnsi="Times New Roman" w:cs="Times New Roman"/>
          <w:sz w:val="24"/>
          <w:szCs w:val="24"/>
        </w:rPr>
        <w:t xml:space="preserve">y continuaron sin campesinados hasta </w:t>
      </w:r>
      <w:r w:rsidR="002438FC" w:rsidRPr="004841FE">
        <w:rPr>
          <w:rFonts w:ascii="Times New Roman" w:hAnsi="Times New Roman" w:cs="Times New Roman"/>
          <w:sz w:val="24"/>
          <w:szCs w:val="24"/>
        </w:rPr>
        <w:t>finales del siglo VI</w:t>
      </w:r>
      <w:r w:rsidR="008C0340" w:rsidRPr="004841FE">
        <w:rPr>
          <w:rFonts w:ascii="Times New Roman" w:hAnsi="Times New Roman" w:cs="Times New Roman"/>
          <w:sz w:val="24"/>
          <w:szCs w:val="24"/>
        </w:rPr>
        <w:t>. Asimismo, ante la reducción drástica de gente que trabajara la tierra,</w:t>
      </w:r>
      <w:r w:rsidR="007D7865" w:rsidRPr="004841FE">
        <w:rPr>
          <w:rFonts w:ascii="Times New Roman" w:hAnsi="Times New Roman" w:cs="Times New Roman"/>
          <w:sz w:val="24"/>
          <w:szCs w:val="24"/>
        </w:rPr>
        <w:t xml:space="preserve"> </w:t>
      </w:r>
      <w:r w:rsidR="008C0340" w:rsidRPr="004841FE">
        <w:rPr>
          <w:rFonts w:ascii="Times New Roman" w:hAnsi="Times New Roman" w:cs="Times New Roman"/>
          <w:sz w:val="24"/>
          <w:szCs w:val="24"/>
        </w:rPr>
        <w:t xml:space="preserve">quienes sobrevivieron pudieron </w:t>
      </w:r>
      <w:r w:rsidR="00A84DBB" w:rsidRPr="004841FE">
        <w:rPr>
          <w:rFonts w:ascii="Times New Roman" w:hAnsi="Times New Roman" w:cs="Times New Roman"/>
          <w:sz w:val="24"/>
          <w:szCs w:val="24"/>
        </w:rPr>
        <w:t xml:space="preserve">solicitar salarios considerablemente más altos. Esto destruyó el orden social que hasta el momento había existido, ya que la tierra dejó de estar controlada por </w:t>
      </w:r>
      <w:r w:rsidR="007D7865" w:rsidRPr="004841FE">
        <w:rPr>
          <w:rFonts w:ascii="Times New Roman" w:hAnsi="Times New Roman" w:cs="Times New Roman"/>
          <w:sz w:val="24"/>
          <w:szCs w:val="24"/>
        </w:rPr>
        <w:t xml:space="preserve">los </w:t>
      </w:r>
      <w:r w:rsidR="00A84DBB" w:rsidRPr="004841FE">
        <w:rPr>
          <w:rFonts w:ascii="Times New Roman" w:hAnsi="Times New Roman" w:cs="Times New Roman"/>
          <w:sz w:val="24"/>
          <w:szCs w:val="24"/>
        </w:rPr>
        <w:t>grandes hacendados</w:t>
      </w:r>
      <w:r w:rsidR="004C02BC" w:rsidRPr="004841FE">
        <w:rPr>
          <w:rFonts w:ascii="Times New Roman" w:hAnsi="Times New Roman" w:cs="Times New Roman"/>
          <w:sz w:val="24"/>
          <w:szCs w:val="24"/>
        </w:rPr>
        <w:t xml:space="preserve"> y surgieron los</w:t>
      </w:r>
      <w:r w:rsidR="00A84DBB" w:rsidRPr="004841FE">
        <w:rPr>
          <w:rFonts w:ascii="Times New Roman" w:hAnsi="Times New Roman" w:cs="Times New Roman"/>
          <w:sz w:val="24"/>
          <w:szCs w:val="24"/>
        </w:rPr>
        <w:t xml:space="preserve"> pequeños y medianos propietarios (</w:t>
      </w:r>
      <w:r w:rsidR="00761A01" w:rsidRPr="004841FE">
        <w:rPr>
          <w:rFonts w:ascii="Times New Roman" w:hAnsi="Times New Roman" w:cs="Times New Roman"/>
          <w:sz w:val="24"/>
          <w:szCs w:val="24"/>
        </w:rPr>
        <w:t>Ostrogorsky 1959: 47; Sarris 2002: 177-178</w:t>
      </w:r>
      <w:r w:rsidR="00A84DBB" w:rsidRPr="004841FE">
        <w:rPr>
          <w:rFonts w:ascii="Times New Roman" w:hAnsi="Times New Roman" w:cs="Times New Roman"/>
          <w:sz w:val="24"/>
          <w:szCs w:val="24"/>
        </w:rPr>
        <w:t xml:space="preserve">). </w:t>
      </w:r>
      <w:r w:rsidR="00D862CD" w:rsidRPr="004841FE">
        <w:rPr>
          <w:rFonts w:ascii="Times New Roman" w:hAnsi="Times New Roman" w:cs="Times New Roman"/>
          <w:sz w:val="24"/>
          <w:szCs w:val="24"/>
        </w:rPr>
        <w:t xml:space="preserve">Esto </w:t>
      </w:r>
      <w:r w:rsidR="00D862CD" w:rsidRPr="004841FE">
        <w:rPr>
          <w:rFonts w:ascii="Times New Roman" w:hAnsi="Times New Roman" w:cs="Times New Roman"/>
          <w:sz w:val="24"/>
          <w:szCs w:val="24"/>
        </w:rPr>
        <w:lastRenderedPageBreak/>
        <w:t>llevó a cambios en el manejo agrario del Estado a un nivel legislativo, cuyas nuevas reglas o edictos se adaptaron a la situación</w:t>
      </w:r>
      <w:r w:rsidR="00C40453" w:rsidRPr="004841FE">
        <w:rPr>
          <w:rFonts w:ascii="Times New Roman" w:hAnsi="Times New Roman" w:cs="Times New Roman"/>
          <w:sz w:val="24"/>
          <w:szCs w:val="24"/>
        </w:rPr>
        <w:t xml:space="preserve">. Algunas de estas legislaciones fueron: el adiectio sterilium, que otorgaba tierras desertadas a pequeños propietarios; el agri deserti, que </w:t>
      </w:r>
      <w:r w:rsidR="00BA18A1" w:rsidRPr="004841FE">
        <w:rPr>
          <w:rFonts w:ascii="Times New Roman" w:hAnsi="Times New Roman" w:cs="Times New Roman"/>
          <w:sz w:val="24"/>
          <w:szCs w:val="24"/>
        </w:rPr>
        <w:t>cambiaba el modelo fiscal en zonas abandonadas; y otros edictos que regulaban los increíblemente altos salarios que la demanda podía generar, volviendo al Estado más controlador</w:t>
      </w:r>
      <w:r w:rsidR="00AC4466" w:rsidRPr="004841FE">
        <w:rPr>
          <w:rFonts w:ascii="Times New Roman" w:hAnsi="Times New Roman" w:cs="Times New Roman"/>
          <w:sz w:val="24"/>
          <w:szCs w:val="24"/>
        </w:rPr>
        <w:t xml:space="preserve"> </w:t>
      </w:r>
      <w:r w:rsidR="007318E8" w:rsidRPr="004841FE">
        <w:rPr>
          <w:rFonts w:ascii="Times New Roman" w:hAnsi="Times New Roman" w:cs="Times New Roman"/>
          <w:sz w:val="24"/>
          <w:szCs w:val="24"/>
        </w:rPr>
        <w:t>(</w:t>
      </w:r>
      <w:r w:rsidR="00844434" w:rsidRPr="004841FE">
        <w:rPr>
          <w:rFonts w:ascii="Times New Roman" w:hAnsi="Times New Roman" w:cs="Times New Roman"/>
          <w:sz w:val="24"/>
          <w:szCs w:val="24"/>
        </w:rPr>
        <w:t xml:space="preserve">Allen 1979: 17; </w:t>
      </w:r>
      <w:r w:rsidR="007318E8" w:rsidRPr="004841FE">
        <w:rPr>
          <w:rFonts w:ascii="Times New Roman" w:hAnsi="Times New Roman" w:cs="Times New Roman"/>
          <w:sz w:val="24"/>
          <w:szCs w:val="24"/>
        </w:rPr>
        <w:t>MacGillivray &amp; Teall 2020; Sarris 2002: 177</w:t>
      </w:r>
      <w:r w:rsidR="00844434" w:rsidRPr="004841FE">
        <w:rPr>
          <w:rFonts w:ascii="Times New Roman" w:hAnsi="Times New Roman" w:cs="Times New Roman"/>
          <w:sz w:val="24"/>
          <w:szCs w:val="24"/>
        </w:rPr>
        <w:t>-178</w:t>
      </w:r>
      <w:r w:rsidR="007318E8" w:rsidRPr="004841FE">
        <w:rPr>
          <w:rFonts w:ascii="Times New Roman" w:hAnsi="Times New Roman" w:cs="Times New Roman"/>
          <w:sz w:val="24"/>
          <w:szCs w:val="24"/>
        </w:rPr>
        <w:t>)</w:t>
      </w:r>
      <w:r w:rsidR="00BA18A1" w:rsidRPr="004841FE">
        <w:rPr>
          <w:rFonts w:ascii="Times New Roman" w:hAnsi="Times New Roman" w:cs="Times New Roman"/>
          <w:sz w:val="24"/>
          <w:szCs w:val="24"/>
        </w:rPr>
        <w:t>. E</w:t>
      </w:r>
      <w:r w:rsidR="007318E8" w:rsidRPr="004841FE">
        <w:rPr>
          <w:rFonts w:ascii="Times New Roman" w:hAnsi="Times New Roman" w:cs="Times New Roman"/>
          <w:sz w:val="24"/>
          <w:szCs w:val="24"/>
        </w:rPr>
        <w:t>l</w:t>
      </w:r>
      <w:r w:rsidR="00BA18A1" w:rsidRPr="004841FE">
        <w:rPr>
          <w:rFonts w:ascii="Times New Roman" w:hAnsi="Times New Roman" w:cs="Times New Roman"/>
          <w:sz w:val="24"/>
          <w:szCs w:val="24"/>
        </w:rPr>
        <w:t xml:space="preserve"> aumento en propiedades y arrendamiento de tierras incluso afectó Egipto, provincia que, en tiempos clásicos, era exclusivamente del </w:t>
      </w:r>
      <w:r w:rsidR="004C02BC" w:rsidRPr="004841FE">
        <w:rPr>
          <w:rFonts w:ascii="Times New Roman" w:hAnsi="Times New Roman" w:cs="Times New Roman"/>
          <w:sz w:val="24"/>
          <w:szCs w:val="24"/>
        </w:rPr>
        <w:t>e</w:t>
      </w:r>
      <w:r w:rsidR="00BA18A1" w:rsidRPr="004841FE">
        <w:rPr>
          <w:rFonts w:ascii="Times New Roman" w:hAnsi="Times New Roman" w:cs="Times New Roman"/>
          <w:sz w:val="24"/>
          <w:szCs w:val="24"/>
        </w:rPr>
        <w:t xml:space="preserve">mperador </w:t>
      </w:r>
      <w:r w:rsidR="007318E8" w:rsidRPr="004841FE">
        <w:rPr>
          <w:rFonts w:ascii="Times New Roman" w:hAnsi="Times New Roman" w:cs="Times New Roman"/>
          <w:sz w:val="24"/>
          <w:szCs w:val="24"/>
        </w:rPr>
        <w:t xml:space="preserve">(Sarris 2002: 178; Garnsey &amp; Saller 1991: </w:t>
      </w:r>
      <w:r w:rsidR="00844434" w:rsidRPr="004841FE">
        <w:rPr>
          <w:rFonts w:ascii="Times New Roman" w:hAnsi="Times New Roman" w:cs="Times New Roman"/>
          <w:sz w:val="24"/>
          <w:szCs w:val="24"/>
        </w:rPr>
        <w:t>83</w:t>
      </w:r>
      <w:r w:rsidR="00BA18A1" w:rsidRPr="004841FE">
        <w:rPr>
          <w:rFonts w:ascii="Times New Roman" w:hAnsi="Times New Roman" w:cs="Times New Roman"/>
          <w:sz w:val="24"/>
          <w:szCs w:val="24"/>
        </w:rPr>
        <w:t>).</w:t>
      </w:r>
    </w:p>
    <w:p w14:paraId="46F36FC4" w14:textId="7E6730BF" w:rsidR="00EE57DB" w:rsidRPr="004841FE" w:rsidRDefault="00EE57DB"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Como se mencionó</w:t>
      </w:r>
      <w:r w:rsidR="00F57D13" w:rsidRPr="004841FE">
        <w:rPr>
          <w:rFonts w:ascii="Times New Roman" w:hAnsi="Times New Roman" w:cs="Times New Roman"/>
          <w:sz w:val="24"/>
          <w:szCs w:val="24"/>
        </w:rPr>
        <w:t xml:space="preserve"> anteriormente</w:t>
      </w:r>
      <w:r w:rsidRPr="004841FE">
        <w:rPr>
          <w:rFonts w:ascii="Times New Roman" w:hAnsi="Times New Roman" w:cs="Times New Roman"/>
          <w:sz w:val="24"/>
          <w:szCs w:val="24"/>
        </w:rPr>
        <w:t xml:space="preserve">, la economía romana era agraria, por lo que los cambios directos que la demografía tuvo en la agricultura se trasladaron a la economía. Además </w:t>
      </w:r>
      <w:r w:rsidR="00C03217" w:rsidRPr="004841FE">
        <w:rPr>
          <w:rFonts w:ascii="Times New Roman" w:hAnsi="Times New Roman" w:cs="Times New Roman"/>
          <w:sz w:val="24"/>
          <w:szCs w:val="24"/>
        </w:rPr>
        <w:t xml:space="preserve">del mayor control de salarios y el cambio fiscal de provincias gravemente afectadas, se experimentó </w:t>
      </w:r>
      <w:r w:rsidR="00F57D13" w:rsidRPr="004841FE">
        <w:rPr>
          <w:rFonts w:ascii="Times New Roman" w:hAnsi="Times New Roman" w:cs="Times New Roman"/>
          <w:sz w:val="24"/>
          <w:szCs w:val="24"/>
        </w:rPr>
        <w:t xml:space="preserve">un cambio en la moneda del Estado. </w:t>
      </w:r>
      <w:r w:rsidR="00871B70" w:rsidRPr="004841FE">
        <w:rPr>
          <w:rFonts w:ascii="Times New Roman" w:hAnsi="Times New Roman" w:cs="Times New Roman"/>
          <w:sz w:val="24"/>
          <w:szCs w:val="24"/>
        </w:rPr>
        <w:t>La población agrícola pobre del pasado recibía pago en bronce, pero el impuesto y los precios se contaban en oro. Con las nuevas altas remuneraciones y al ser los campesinos pagados con moneda</w:t>
      </w:r>
      <w:r w:rsidR="004C02BC" w:rsidRPr="004841FE">
        <w:rPr>
          <w:rFonts w:ascii="Times New Roman" w:hAnsi="Times New Roman" w:cs="Times New Roman"/>
          <w:sz w:val="24"/>
          <w:szCs w:val="24"/>
        </w:rPr>
        <w:t xml:space="preserve"> más cara</w:t>
      </w:r>
      <w:r w:rsidR="00871B70" w:rsidRPr="004841FE">
        <w:rPr>
          <w:rFonts w:ascii="Times New Roman" w:hAnsi="Times New Roman" w:cs="Times New Roman"/>
          <w:sz w:val="24"/>
          <w:szCs w:val="24"/>
        </w:rPr>
        <w:t xml:space="preserve">, el oro se devaluó y reemplazó el bronce. Desde tiempos de Roma, aquella parte del </w:t>
      </w:r>
      <w:r w:rsidR="00DA1495" w:rsidRPr="004841FE">
        <w:rPr>
          <w:rFonts w:ascii="Times New Roman" w:hAnsi="Times New Roman" w:cs="Times New Roman"/>
          <w:sz w:val="24"/>
          <w:szCs w:val="24"/>
        </w:rPr>
        <w:t>i</w:t>
      </w:r>
      <w:r w:rsidR="00871B70" w:rsidRPr="004841FE">
        <w:rPr>
          <w:rFonts w:ascii="Times New Roman" w:hAnsi="Times New Roman" w:cs="Times New Roman"/>
          <w:sz w:val="24"/>
          <w:szCs w:val="24"/>
        </w:rPr>
        <w:t xml:space="preserve">mperio siempre había manejado </w:t>
      </w:r>
      <w:r w:rsidR="00DB2B1B" w:rsidRPr="004841FE">
        <w:rPr>
          <w:rFonts w:ascii="Times New Roman" w:hAnsi="Times New Roman" w:cs="Times New Roman"/>
          <w:sz w:val="24"/>
          <w:szCs w:val="24"/>
        </w:rPr>
        <w:t>el bronce como moneda principal</w:t>
      </w:r>
      <w:r w:rsidR="00871B70" w:rsidRPr="004841FE">
        <w:rPr>
          <w:rFonts w:ascii="Times New Roman" w:hAnsi="Times New Roman" w:cs="Times New Roman"/>
          <w:sz w:val="24"/>
          <w:szCs w:val="24"/>
        </w:rPr>
        <w:t xml:space="preserve"> y </w:t>
      </w:r>
      <w:r w:rsidR="00324257" w:rsidRPr="004841FE">
        <w:rPr>
          <w:rFonts w:ascii="Times New Roman" w:hAnsi="Times New Roman" w:cs="Times New Roman"/>
          <w:sz w:val="24"/>
          <w:szCs w:val="24"/>
        </w:rPr>
        <w:t>el reemplazo cambió</w:t>
      </w:r>
      <w:r w:rsidR="00DB2B1B" w:rsidRPr="004841FE">
        <w:rPr>
          <w:rFonts w:ascii="Times New Roman" w:hAnsi="Times New Roman" w:cs="Times New Roman"/>
          <w:sz w:val="24"/>
          <w:szCs w:val="24"/>
        </w:rPr>
        <w:t xml:space="preserve"> la estructura de la economía</w:t>
      </w:r>
      <w:r w:rsidR="00871B70" w:rsidRPr="004841FE">
        <w:rPr>
          <w:rFonts w:ascii="Times New Roman" w:hAnsi="Times New Roman" w:cs="Times New Roman"/>
          <w:sz w:val="24"/>
          <w:szCs w:val="24"/>
        </w:rPr>
        <w:t xml:space="preserve"> (</w:t>
      </w:r>
      <w:r w:rsidR="006B2756" w:rsidRPr="004841FE">
        <w:rPr>
          <w:rFonts w:ascii="Times New Roman" w:hAnsi="Times New Roman" w:cs="Times New Roman"/>
          <w:sz w:val="24"/>
          <w:szCs w:val="24"/>
        </w:rPr>
        <w:t>Ostrogorsky 1959: 48-52; Sarris 2002: 178</w:t>
      </w:r>
      <w:r w:rsidR="00871B70" w:rsidRPr="004841FE">
        <w:rPr>
          <w:rFonts w:ascii="Times New Roman" w:hAnsi="Times New Roman" w:cs="Times New Roman"/>
          <w:sz w:val="24"/>
          <w:szCs w:val="24"/>
        </w:rPr>
        <w:t>).</w:t>
      </w:r>
      <w:r w:rsidR="00026EA6" w:rsidRPr="004841FE">
        <w:rPr>
          <w:rFonts w:ascii="Times New Roman" w:hAnsi="Times New Roman" w:cs="Times New Roman"/>
          <w:sz w:val="24"/>
          <w:szCs w:val="24"/>
        </w:rPr>
        <w:t xml:space="preserve"> Además, con esta nueva abundancia de moneda, el Estado pasó a cobrar impuesto únicamente monetario (</w:t>
      </w:r>
      <w:r w:rsidR="006B2756" w:rsidRPr="004841FE">
        <w:rPr>
          <w:rFonts w:ascii="Times New Roman" w:hAnsi="Times New Roman" w:cs="Times New Roman"/>
          <w:sz w:val="24"/>
          <w:szCs w:val="24"/>
        </w:rPr>
        <w:t>MacGillivray &amp; Teall 2020</w:t>
      </w:r>
      <w:r w:rsidR="00026EA6" w:rsidRPr="004841FE">
        <w:rPr>
          <w:rFonts w:ascii="Times New Roman" w:hAnsi="Times New Roman" w:cs="Times New Roman"/>
          <w:sz w:val="24"/>
          <w:szCs w:val="24"/>
        </w:rPr>
        <w:t>).</w:t>
      </w:r>
      <w:r w:rsidR="00AC4466" w:rsidRPr="004841FE">
        <w:rPr>
          <w:rFonts w:ascii="Times New Roman" w:hAnsi="Times New Roman" w:cs="Times New Roman"/>
          <w:sz w:val="24"/>
          <w:szCs w:val="24"/>
        </w:rPr>
        <w:t xml:space="preserve"> No obstante, no hubo acumulación de riqueza porque los campesinos recibieron un mayor número de impuestos, que eran necesarios para cubrir por todos aquellos contribuyentes que murieron por la plaga (Ostrogorsky 1959: 64).</w:t>
      </w:r>
    </w:p>
    <w:p w14:paraId="40450BB3" w14:textId="5376742E" w:rsidR="00871B70" w:rsidRPr="004841FE" w:rsidRDefault="004C02BC"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 xml:space="preserve">La razón por la cual estos cambios en el agro y la economía perduraron fue porque la población del imperio nunca se recuperó. Esto se debió </w:t>
      </w:r>
      <w:r w:rsidR="00100C1D" w:rsidRPr="004841FE">
        <w:rPr>
          <w:rFonts w:ascii="Times New Roman" w:hAnsi="Times New Roman" w:cs="Times New Roman"/>
          <w:sz w:val="24"/>
          <w:szCs w:val="24"/>
        </w:rPr>
        <w:t>a que el monasticismo, que implicaba celibato, empezó a ganar popularidad en la época</w:t>
      </w:r>
      <w:r w:rsidRPr="004841FE">
        <w:rPr>
          <w:rFonts w:ascii="Times New Roman" w:hAnsi="Times New Roman" w:cs="Times New Roman"/>
          <w:sz w:val="24"/>
          <w:szCs w:val="24"/>
        </w:rPr>
        <w:t xml:space="preserve"> y al hecho de que nuevas oleadas de la plaga continuaron llegando al </w:t>
      </w:r>
      <w:r w:rsidR="00B32E2A" w:rsidRPr="004841FE">
        <w:rPr>
          <w:rFonts w:ascii="Times New Roman" w:hAnsi="Times New Roman" w:cs="Times New Roman"/>
          <w:sz w:val="24"/>
          <w:szCs w:val="24"/>
        </w:rPr>
        <w:t>territorio</w:t>
      </w:r>
      <w:r w:rsidRPr="004841FE">
        <w:rPr>
          <w:rFonts w:ascii="Times New Roman" w:hAnsi="Times New Roman" w:cs="Times New Roman"/>
          <w:sz w:val="24"/>
          <w:szCs w:val="24"/>
        </w:rPr>
        <w:t xml:space="preserve"> (</w:t>
      </w:r>
      <w:r w:rsidR="00B67749" w:rsidRPr="004841FE">
        <w:rPr>
          <w:rFonts w:ascii="Times New Roman" w:hAnsi="Times New Roman" w:cs="Times New Roman"/>
          <w:sz w:val="24"/>
          <w:szCs w:val="24"/>
        </w:rPr>
        <w:t>MacGillivray &amp; Teall 2020</w:t>
      </w:r>
      <w:r w:rsidRPr="004841FE">
        <w:rPr>
          <w:rFonts w:ascii="Times New Roman" w:hAnsi="Times New Roman" w:cs="Times New Roman"/>
          <w:sz w:val="24"/>
          <w:szCs w:val="24"/>
        </w:rPr>
        <w:t xml:space="preserve">). El mismo panorama demográfico se asemejaba más a un Estado medieval de la época, con menos ciudades y ciudades menos pobladas. Este fue el caso principalmente en los Balcanes y provincias sureñas, ya que datos eclesiásticos de la época demuestran que el número de ciudades permaneció siendo el mismo en Asia Menor. Sin embargo, </w:t>
      </w:r>
      <w:r w:rsidR="00100C1D" w:rsidRPr="004841FE">
        <w:rPr>
          <w:rFonts w:ascii="Times New Roman" w:hAnsi="Times New Roman" w:cs="Times New Roman"/>
          <w:sz w:val="24"/>
          <w:szCs w:val="24"/>
        </w:rPr>
        <w:t xml:space="preserve">la razón por la cual hubo estagnación y no reducción de </w:t>
      </w:r>
      <w:r w:rsidR="00EE1962" w:rsidRPr="004841FE">
        <w:rPr>
          <w:rFonts w:ascii="Times New Roman" w:hAnsi="Times New Roman" w:cs="Times New Roman"/>
          <w:sz w:val="24"/>
          <w:szCs w:val="24"/>
        </w:rPr>
        <w:t>vida urbana</w:t>
      </w:r>
      <w:r w:rsidR="00100C1D" w:rsidRPr="004841FE">
        <w:rPr>
          <w:rFonts w:ascii="Times New Roman" w:hAnsi="Times New Roman" w:cs="Times New Roman"/>
          <w:sz w:val="24"/>
          <w:szCs w:val="24"/>
        </w:rPr>
        <w:t xml:space="preserve"> en Asia Menor fue por las migraciones eslavas y armenias, no por una recuperación efectiva de los lugareños (</w:t>
      </w:r>
      <w:r w:rsidR="00730727" w:rsidRPr="004841FE">
        <w:rPr>
          <w:rFonts w:ascii="Times New Roman" w:hAnsi="Times New Roman" w:cs="Times New Roman"/>
          <w:sz w:val="24"/>
          <w:szCs w:val="24"/>
        </w:rPr>
        <w:t>Ostrogorsky 1959: 52-63</w:t>
      </w:r>
      <w:r w:rsidR="00100C1D" w:rsidRPr="004841FE">
        <w:rPr>
          <w:rFonts w:ascii="Times New Roman" w:hAnsi="Times New Roman" w:cs="Times New Roman"/>
          <w:sz w:val="24"/>
          <w:szCs w:val="24"/>
        </w:rPr>
        <w:t>).</w:t>
      </w:r>
      <w:r w:rsidR="008276E0" w:rsidRPr="004841FE">
        <w:rPr>
          <w:rFonts w:ascii="Times New Roman" w:hAnsi="Times New Roman" w:cs="Times New Roman"/>
          <w:sz w:val="24"/>
          <w:szCs w:val="24"/>
        </w:rPr>
        <w:t xml:space="preserve"> </w:t>
      </w:r>
      <w:r w:rsidR="000F6DED" w:rsidRPr="004841FE">
        <w:rPr>
          <w:rFonts w:ascii="Times New Roman" w:hAnsi="Times New Roman" w:cs="Times New Roman"/>
          <w:sz w:val="24"/>
          <w:szCs w:val="24"/>
        </w:rPr>
        <w:t xml:space="preserve">Con el pasar de las décadas, la falta de población bizantina </w:t>
      </w:r>
      <w:r w:rsidR="000F6DED" w:rsidRPr="004841FE">
        <w:rPr>
          <w:rFonts w:ascii="Times New Roman" w:hAnsi="Times New Roman" w:cs="Times New Roman"/>
          <w:sz w:val="24"/>
          <w:szCs w:val="24"/>
        </w:rPr>
        <w:lastRenderedPageBreak/>
        <w:t>para el ejército</w:t>
      </w:r>
      <w:r w:rsidR="008276E0" w:rsidRPr="004841FE">
        <w:rPr>
          <w:rFonts w:ascii="Times New Roman" w:hAnsi="Times New Roman" w:cs="Times New Roman"/>
          <w:sz w:val="24"/>
          <w:szCs w:val="24"/>
        </w:rPr>
        <w:t xml:space="preserve"> también</w:t>
      </w:r>
      <w:r w:rsidR="000F6DED" w:rsidRPr="004841FE">
        <w:rPr>
          <w:rFonts w:ascii="Times New Roman" w:hAnsi="Times New Roman" w:cs="Times New Roman"/>
          <w:sz w:val="24"/>
          <w:szCs w:val="24"/>
        </w:rPr>
        <w:t xml:space="preserve"> implicó que el modelo militar clásico tuvo que cambiar. Por este motivo, los ejércitos bizantinos de</w:t>
      </w:r>
      <w:r w:rsidR="0043340D" w:rsidRPr="004841FE">
        <w:rPr>
          <w:rFonts w:ascii="Times New Roman" w:hAnsi="Times New Roman" w:cs="Times New Roman"/>
          <w:sz w:val="24"/>
          <w:szCs w:val="24"/>
        </w:rPr>
        <w:t xml:space="preserve">l siglo VII </w:t>
      </w:r>
      <w:r w:rsidR="000F6DED" w:rsidRPr="004841FE">
        <w:rPr>
          <w:rFonts w:ascii="Times New Roman" w:hAnsi="Times New Roman" w:cs="Times New Roman"/>
          <w:sz w:val="24"/>
          <w:szCs w:val="24"/>
        </w:rPr>
        <w:t>en adelante contenían más personal de provincias alejadas y un vital componente mercenario</w:t>
      </w:r>
      <w:r w:rsidR="005E5301" w:rsidRPr="004841FE">
        <w:rPr>
          <w:rFonts w:ascii="Times New Roman" w:hAnsi="Times New Roman" w:cs="Times New Roman"/>
          <w:sz w:val="24"/>
          <w:szCs w:val="24"/>
        </w:rPr>
        <w:t>. Entonces, Bizancio se enfrentó al mismo problema que el Imperio Romano Occidental</w:t>
      </w:r>
      <w:r w:rsidR="000F35D4" w:rsidRPr="004841FE">
        <w:rPr>
          <w:rFonts w:ascii="Times New Roman" w:hAnsi="Times New Roman" w:cs="Times New Roman"/>
          <w:sz w:val="24"/>
          <w:szCs w:val="24"/>
        </w:rPr>
        <w:t>:</w:t>
      </w:r>
      <w:r w:rsidR="005E5301" w:rsidRPr="004841FE">
        <w:rPr>
          <w:rFonts w:ascii="Times New Roman" w:hAnsi="Times New Roman" w:cs="Times New Roman"/>
          <w:sz w:val="24"/>
          <w:szCs w:val="24"/>
        </w:rPr>
        <w:t xml:space="preserve"> la incorporación de bárbaros al ejército con menos disciplina y motivación no patriota. El componente mercenario también significó mayor gasto, lo cual generó levantamientos en siglos futuros y redujo la capacidad militar considerablemente</w:t>
      </w:r>
      <w:r w:rsidR="00AC4466" w:rsidRPr="004841FE">
        <w:rPr>
          <w:rFonts w:ascii="Times New Roman" w:hAnsi="Times New Roman" w:cs="Times New Roman"/>
          <w:sz w:val="24"/>
          <w:szCs w:val="24"/>
        </w:rPr>
        <w:t xml:space="preserve">, debilidad que sería explotada por </w:t>
      </w:r>
      <w:r w:rsidR="00850D73" w:rsidRPr="004841FE">
        <w:rPr>
          <w:rFonts w:ascii="Times New Roman" w:hAnsi="Times New Roman" w:cs="Times New Roman"/>
          <w:sz w:val="24"/>
          <w:szCs w:val="24"/>
        </w:rPr>
        <w:t xml:space="preserve">árabes y eslavos en siglos siguientes </w:t>
      </w:r>
      <w:r w:rsidR="000F6DED" w:rsidRPr="004841FE">
        <w:rPr>
          <w:rFonts w:ascii="Times New Roman" w:hAnsi="Times New Roman" w:cs="Times New Roman"/>
          <w:sz w:val="24"/>
          <w:szCs w:val="24"/>
        </w:rPr>
        <w:t>(</w:t>
      </w:r>
      <w:r w:rsidR="001518A1" w:rsidRPr="004841FE">
        <w:rPr>
          <w:rFonts w:ascii="Times New Roman" w:hAnsi="Times New Roman" w:cs="Times New Roman"/>
          <w:sz w:val="24"/>
          <w:szCs w:val="24"/>
        </w:rPr>
        <w:t>MacGillivray &amp; Teall 2020; Sarris 2002: 179</w:t>
      </w:r>
      <w:r w:rsidR="000F6DED" w:rsidRPr="004841FE">
        <w:rPr>
          <w:rFonts w:ascii="Times New Roman" w:hAnsi="Times New Roman" w:cs="Times New Roman"/>
          <w:sz w:val="24"/>
          <w:szCs w:val="24"/>
        </w:rPr>
        <w:t>).</w:t>
      </w:r>
    </w:p>
    <w:p w14:paraId="11DF3EFA" w14:textId="1193BDFF" w:rsidR="00C563E1" w:rsidRPr="004841FE" w:rsidRDefault="0056519E" w:rsidP="00784992">
      <w:pPr>
        <w:spacing w:line="360" w:lineRule="auto"/>
        <w:jc w:val="both"/>
        <w:rPr>
          <w:rFonts w:ascii="Times New Roman" w:hAnsi="Times New Roman" w:cs="Times New Roman"/>
          <w:sz w:val="24"/>
          <w:szCs w:val="24"/>
        </w:rPr>
      </w:pPr>
      <w:r w:rsidRPr="004841FE">
        <w:rPr>
          <w:rFonts w:ascii="Times New Roman" w:hAnsi="Times New Roman" w:cs="Times New Roman"/>
          <w:sz w:val="24"/>
          <w:szCs w:val="24"/>
        </w:rPr>
        <w:t>En conclusión, las ramificaciones de la Plaga Justiniana condujeron a un cambio del Estado Bizantino</w:t>
      </w:r>
      <w:r w:rsidR="00612420" w:rsidRPr="004841FE">
        <w:rPr>
          <w:rFonts w:ascii="Times New Roman" w:hAnsi="Times New Roman" w:cs="Times New Roman"/>
          <w:sz w:val="24"/>
          <w:szCs w:val="24"/>
        </w:rPr>
        <w:t xml:space="preserve">. Esto se produjo por las implicancias del descenso demográfico </w:t>
      </w:r>
      <w:r w:rsidR="00993A17" w:rsidRPr="004841FE">
        <w:rPr>
          <w:rFonts w:ascii="Times New Roman" w:hAnsi="Times New Roman" w:cs="Times New Roman"/>
          <w:sz w:val="24"/>
          <w:szCs w:val="24"/>
        </w:rPr>
        <w:t>en el largo plazo.</w:t>
      </w:r>
      <w:r w:rsidR="00C360CF" w:rsidRPr="004841FE">
        <w:rPr>
          <w:rFonts w:ascii="Times New Roman" w:hAnsi="Times New Roman" w:cs="Times New Roman"/>
          <w:sz w:val="24"/>
          <w:szCs w:val="24"/>
        </w:rPr>
        <w:t xml:space="preserve"> La demanda por mano de obra generada por la plaga incrementó los salarios y cambió el orden social con el surgimiento de pequeños propietarios. E</w:t>
      </w:r>
      <w:r w:rsidR="00004993" w:rsidRPr="004841FE">
        <w:rPr>
          <w:rFonts w:ascii="Times New Roman" w:hAnsi="Times New Roman" w:cs="Times New Roman"/>
          <w:sz w:val="24"/>
          <w:szCs w:val="24"/>
        </w:rPr>
        <w:t>l</w:t>
      </w:r>
      <w:r w:rsidR="00C360CF" w:rsidRPr="004841FE">
        <w:rPr>
          <w:rFonts w:ascii="Times New Roman" w:hAnsi="Times New Roman" w:cs="Times New Roman"/>
          <w:sz w:val="24"/>
          <w:szCs w:val="24"/>
        </w:rPr>
        <w:t xml:space="preserve"> Estado, entonces, se volvió más controlador en el ámbito fiscal y administración de tierras</w:t>
      </w:r>
      <w:r w:rsidR="00405F1F" w:rsidRPr="004841FE">
        <w:rPr>
          <w:rFonts w:ascii="Times New Roman" w:hAnsi="Times New Roman" w:cs="Times New Roman"/>
          <w:sz w:val="24"/>
          <w:szCs w:val="24"/>
        </w:rPr>
        <w:t>, conducta que no hubo en tiempos clásicos</w:t>
      </w:r>
      <w:r w:rsidR="00C360CF" w:rsidRPr="004841FE">
        <w:rPr>
          <w:rFonts w:ascii="Times New Roman" w:hAnsi="Times New Roman" w:cs="Times New Roman"/>
          <w:sz w:val="24"/>
          <w:szCs w:val="24"/>
        </w:rPr>
        <w:t xml:space="preserve">. </w:t>
      </w:r>
      <w:r w:rsidR="00004993" w:rsidRPr="004841FE">
        <w:rPr>
          <w:rFonts w:ascii="Times New Roman" w:hAnsi="Times New Roman" w:cs="Times New Roman"/>
          <w:sz w:val="24"/>
          <w:szCs w:val="24"/>
        </w:rPr>
        <w:t xml:space="preserve">El contexto económico también produjo un cambio </w:t>
      </w:r>
      <w:r w:rsidR="00405F1F" w:rsidRPr="004841FE">
        <w:rPr>
          <w:rFonts w:ascii="Times New Roman" w:hAnsi="Times New Roman" w:cs="Times New Roman"/>
          <w:sz w:val="24"/>
          <w:szCs w:val="24"/>
        </w:rPr>
        <w:t>en el</w:t>
      </w:r>
      <w:r w:rsidR="00004993" w:rsidRPr="004841FE">
        <w:rPr>
          <w:rFonts w:ascii="Times New Roman" w:hAnsi="Times New Roman" w:cs="Times New Roman"/>
          <w:sz w:val="24"/>
          <w:szCs w:val="24"/>
        </w:rPr>
        <w:t xml:space="preserve"> patrón monetario de bronce a oro y normalizó el tipo de impuesto. </w:t>
      </w:r>
      <w:r w:rsidR="001B22EA" w:rsidRPr="004841FE">
        <w:rPr>
          <w:rFonts w:ascii="Times New Roman" w:hAnsi="Times New Roman" w:cs="Times New Roman"/>
          <w:sz w:val="24"/>
          <w:szCs w:val="24"/>
        </w:rPr>
        <w:t xml:space="preserve">La demografía clásica de Roma antigua fue reemplazada por un nuevo tipo de Estado menos urbanizado y dependiente de externos para mantener vitalidad de centros poblados. Asimismo, la composición del ejército, ante las muertes por la plaga, pasó a ser menos bizantina y más mercenaria. </w:t>
      </w:r>
      <w:r w:rsidR="00FA3575" w:rsidRPr="004841FE">
        <w:rPr>
          <w:rFonts w:ascii="Times New Roman" w:hAnsi="Times New Roman" w:cs="Times New Roman"/>
          <w:sz w:val="24"/>
          <w:szCs w:val="24"/>
        </w:rPr>
        <w:t xml:space="preserve">Estos cambios se siguieron sedimentando y, para el siglo VII y VIII, existía un nuevo Bizancio. El </w:t>
      </w:r>
      <w:r w:rsidR="006312F8">
        <w:rPr>
          <w:rFonts w:ascii="Times New Roman" w:hAnsi="Times New Roman" w:cs="Times New Roman"/>
          <w:sz w:val="24"/>
          <w:szCs w:val="24"/>
        </w:rPr>
        <w:t>i</w:t>
      </w:r>
      <w:r w:rsidR="00FA3575" w:rsidRPr="004841FE">
        <w:rPr>
          <w:rFonts w:ascii="Times New Roman" w:hAnsi="Times New Roman" w:cs="Times New Roman"/>
          <w:sz w:val="24"/>
          <w:szCs w:val="24"/>
        </w:rPr>
        <w:t>mperio, que había mantenido una estructura similar a la de Roma clásica por tantos siglos, finalmente se transformó y pasó a ser el Estado Bizantino medieval que continuó existiendo hasta el final de sus días.</w:t>
      </w:r>
    </w:p>
    <w:p w14:paraId="2DA0EB3E" w14:textId="77777777" w:rsidR="00502733" w:rsidRDefault="00502733">
      <w:pPr>
        <w:rPr>
          <w:rFonts w:ascii="Times New Roman" w:hAnsi="Times New Roman" w:cs="Times New Roman"/>
          <w:sz w:val="24"/>
          <w:szCs w:val="24"/>
        </w:rPr>
      </w:pPr>
      <w:r>
        <w:rPr>
          <w:rFonts w:ascii="Times New Roman" w:hAnsi="Times New Roman" w:cs="Times New Roman"/>
          <w:sz w:val="24"/>
          <w:szCs w:val="24"/>
        </w:rPr>
        <w:br w:type="page"/>
      </w:r>
    </w:p>
    <w:p w14:paraId="3A5B90F4" w14:textId="039CE505" w:rsidR="00502733" w:rsidRPr="005E5301" w:rsidRDefault="00502733" w:rsidP="00784992">
      <w:pPr>
        <w:spacing w:line="360" w:lineRule="auto"/>
        <w:jc w:val="both"/>
        <w:rPr>
          <w:rFonts w:ascii="Times New Roman" w:hAnsi="Times New Roman" w:cs="Times New Roman"/>
          <w:b/>
          <w:bCs/>
          <w:sz w:val="24"/>
          <w:szCs w:val="24"/>
          <w:lang w:val="en-US"/>
        </w:rPr>
      </w:pPr>
      <w:r w:rsidRPr="005E5301">
        <w:rPr>
          <w:rFonts w:ascii="Times New Roman" w:hAnsi="Times New Roman" w:cs="Times New Roman"/>
          <w:b/>
          <w:bCs/>
          <w:sz w:val="24"/>
          <w:szCs w:val="24"/>
          <w:lang w:val="en-US"/>
        </w:rPr>
        <w:lastRenderedPageBreak/>
        <w:t>Bibliografía:</w:t>
      </w:r>
    </w:p>
    <w:p w14:paraId="47BD0A09" w14:textId="77777777" w:rsidR="008B0C96" w:rsidRDefault="008B0C96" w:rsidP="008B0C96">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ALLEN, Pauline</w:t>
      </w:r>
    </w:p>
    <w:p w14:paraId="3A36D230" w14:textId="77777777" w:rsidR="008B0C96" w:rsidRDefault="008B0C96" w:rsidP="008B0C96">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lang w:val="en-US"/>
        </w:rPr>
        <w:t>1979</w:t>
      </w:r>
      <w:r>
        <w:rPr>
          <w:rFonts w:ascii="Times New Roman" w:hAnsi="Times New Roman" w:cs="Times New Roman"/>
          <w:sz w:val="24"/>
          <w:szCs w:val="24"/>
          <w:lang w:val="en-US"/>
        </w:rPr>
        <w:tab/>
        <w:t xml:space="preserve">“The ‘Justinianic’ Plague”. </w:t>
      </w:r>
      <w:r w:rsidRPr="005E5301">
        <w:rPr>
          <w:rFonts w:ascii="Times New Roman" w:hAnsi="Times New Roman" w:cs="Times New Roman"/>
          <w:i/>
          <w:iCs/>
          <w:sz w:val="24"/>
          <w:szCs w:val="24"/>
        </w:rPr>
        <w:t>Byzantion</w:t>
      </w:r>
      <w:r w:rsidRPr="005E5301">
        <w:rPr>
          <w:rFonts w:ascii="Times New Roman" w:hAnsi="Times New Roman" w:cs="Times New Roman"/>
          <w:sz w:val="24"/>
          <w:szCs w:val="24"/>
        </w:rPr>
        <w:t xml:space="preserve">. </w:t>
      </w:r>
      <w:r w:rsidRPr="000F41D2">
        <w:rPr>
          <w:rFonts w:ascii="Times New Roman" w:hAnsi="Times New Roman" w:cs="Times New Roman"/>
          <w:sz w:val="24"/>
          <w:szCs w:val="24"/>
        </w:rPr>
        <w:t>Bruselas, año</w:t>
      </w:r>
      <w:r>
        <w:rPr>
          <w:rFonts w:ascii="Times New Roman" w:hAnsi="Times New Roman" w:cs="Times New Roman"/>
          <w:sz w:val="24"/>
          <w:szCs w:val="24"/>
        </w:rPr>
        <w:t xml:space="preserve"> 55, vol. 49, pp. 5 – 20. Consulta: 22 de diciembre de 2020.</w:t>
      </w:r>
    </w:p>
    <w:p w14:paraId="642A49E3" w14:textId="77777777" w:rsidR="008B0C96" w:rsidRDefault="008B0C96" w:rsidP="008B0C96">
      <w:pPr>
        <w:spacing w:line="360" w:lineRule="auto"/>
        <w:ind w:left="708" w:hanging="708"/>
        <w:jc w:val="both"/>
        <w:rPr>
          <w:rFonts w:ascii="Times New Roman" w:hAnsi="Times New Roman" w:cs="Times New Roman"/>
          <w:sz w:val="24"/>
          <w:szCs w:val="24"/>
        </w:rPr>
      </w:pPr>
    </w:p>
    <w:p w14:paraId="45616A1F" w14:textId="77777777" w:rsidR="008B0C96" w:rsidRDefault="008B0C96" w:rsidP="008B0C96">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6" w:anchor="metadata_info_tab_contents" w:history="1">
        <w:r w:rsidRPr="009A2D8C">
          <w:rPr>
            <w:rStyle w:val="Hyperlink"/>
            <w:rFonts w:ascii="Times New Roman" w:hAnsi="Times New Roman" w:cs="Times New Roman"/>
            <w:sz w:val="24"/>
            <w:szCs w:val="24"/>
          </w:rPr>
          <w:t>https://www.jstor.org/stable/44172672?seq=1#metadata_info_tab_contents</w:t>
        </w:r>
      </w:hyperlink>
    </w:p>
    <w:p w14:paraId="05D5BF2C" w14:textId="77777777" w:rsidR="008B0C96" w:rsidRDefault="008B0C96" w:rsidP="008B0C96">
      <w:pPr>
        <w:spacing w:line="360" w:lineRule="auto"/>
        <w:jc w:val="both"/>
        <w:rPr>
          <w:rFonts w:ascii="Times New Roman" w:hAnsi="Times New Roman" w:cs="Times New Roman"/>
          <w:sz w:val="24"/>
          <w:szCs w:val="24"/>
        </w:rPr>
      </w:pPr>
    </w:p>
    <w:p w14:paraId="4BE26BE7" w14:textId="45310D3D" w:rsidR="008B0C96" w:rsidRPr="005E5301" w:rsidRDefault="008B0C96" w:rsidP="008B0C96">
      <w:pPr>
        <w:spacing w:line="360" w:lineRule="auto"/>
        <w:jc w:val="both"/>
        <w:rPr>
          <w:rFonts w:ascii="Times New Roman" w:hAnsi="Times New Roman" w:cs="Times New Roman"/>
          <w:sz w:val="24"/>
          <w:szCs w:val="24"/>
        </w:rPr>
      </w:pPr>
      <w:r w:rsidRPr="005E5301">
        <w:rPr>
          <w:rFonts w:ascii="Times New Roman" w:hAnsi="Times New Roman" w:cs="Times New Roman"/>
          <w:sz w:val="24"/>
          <w:szCs w:val="24"/>
        </w:rPr>
        <w:t>ANDRADES, Aida; BOS, Kirsten; HERBIG, Alexander; KHOKHLOV, Aleksandr; KONDRASHIN, Vitality; KRAUSE, Johannes; KÜHNERT, Denise; LANKAPALLI, Aditya; TSYBIN, Victor; TUKHBATOVA, Rezeda; SPYROU, Maria &amp; WANG, Chuan-Chao</w:t>
      </w:r>
    </w:p>
    <w:p w14:paraId="48525974" w14:textId="77777777" w:rsidR="008B0C96" w:rsidRDefault="008B0C96" w:rsidP="008B0C96">
      <w:pPr>
        <w:spacing w:line="360" w:lineRule="auto"/>
        <w:ind w:left="708" w:hanging="708"/>
        <w:jc w:val="both"/>
        <w:rPr>
          <w:rFonts w:ascii="Times New Roman" w:hAnsi="Times New Roman" w:cs="Times New Roman"/>
          <w:sz w:val="24"/>
          <w:szCs w:val="24"/>
          <w:lang w:val="en-US"/>
        </w:rPr>
      </w:pPr>
      <w:r w:rsidRPr="00A822AB">
        <w:rPr>
          <w:rFonts w:ascii="Times New Roman" w:hAnsi="Times New Roman" w:cs="Times New Roman"/>
          <w:sz w:val="24"/>
          <w:szCs w:val="24"/>
          <w:lang w:val="en-US"/>
        </w:rPr>
        <w:t>2018</w:t>
      </w:r>
      <w:r w:rsidRPr="00A822AB">
        <w:rPr>
          <w:rFonts w:ascii="Times New Roman" w:hAnsi="Times New Roman" w:cs="Times New Roman"/>
          <w:sz w:val="24"/>
          <w:szCs w:val="24"/>
          <w:lang w:val="en-US"/>
        </w:rPr>
        <w:tab/>
        <w:t>“Analysis of 3800-year-old Yersinia p</w:t>
      </w:r>
      <w:r>
        <w:rPr>
          <w:rFonts w:ascii="Times New Roman" w:hAnsi="Times New Roman" w:cs="Times New Roman"/>
          <w:sz w:val="24"/>
          <w:szCs w:val="24"/>
          <w:lang w:val="en-US"/>
        </w:rPr>
        <w:t xml:space="preserve">estis genomes suggests Bronze Age origin for bubonic plague”. </w:t>
      </w:r>
      <w:r>
        <w:rPr>
          <w:rFonts w:ascii="Times New Roman" w:hAnsi="Times New Roman" w:cs="Times New Roman"/>
          <w:i/>
          <w:iCs/>
          <w:sz w:val="24"/>
          <w:szCs w:val="24"/>
          <w:lang w:val="en-US"/>
        </w:rPr>
        <w:t>Nature Communications</w:t>
      </w:r>
      <w:r>
        <w:rPr>
          <w:rFonts w:ascii="Times New Roman" w:hAnsi="Times New Roman" w:cs="Times New Roman"/>
          <w:sz w:val="24"/>
          <w:szCs w:val="24"/>
          <w:lang w:val="en-US"/>
        </w:rPr>
        <w:t>. Londres, año 8, vol. 2234, número 9. Consulta: 22 de diciembre de 2020.</w:t>
      </w:r>
    </w:p>
    <w:p w14:paraId="1A3E9D7F" w14:textId="77777777" w:rsidR="008B0C96" w:rsidRDefault="008B0C96" w:rsidP="008B0C96">
      <w:pPr>
        <w:spacing w:line="360" w:lineRule="auto"/>
        <w:ind w:left="708" w:hanging="708"/>
        <w:jc w:val="both"/>
        <w:rPr>
          <w:rFonts w:ascii="Times New Roman" w:hAnsi="Times New Roman" w:cs="Times New Roman"/>
          <w:sz w:val="24"/>
          <w:szCs w:val="24"/>
          <w:lang w:val="en-US"/>
        </w:rPr>
      </w:pPr>
    </w:p>
    <w:p w14:paraId="6F2CC941" w14:textId="77777777" w:rsidR="008B0C96" w:rsidRDefault="008B0C96" w:rsidP="008B0C96">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ab/>
      </w:r>
      <w:hyperlink r:id="rId7" w:anchor="citeas" w:history="1">
        <w:r w:rsidRPr="009A2D8C">
          <w:rPr>
            <w:rStyle w:val="Hyperlink"/>
            <w:rFonts w:ascii="Times New Roman" w:hAnsi="Times New Roman" w:cs="Times New Roman"/>
            <w:sz w:val="24"/>
            <w:szCs w:val="24"/>
            <w:lang w:val="en-US"/>
          </w:rPr>
          <w:t>https://www.nature.com/articles/s41467-018-04550-9#citeas</w:t>
        </w:r>
      </w:hyperlink>
    </w:p>
    <w:p w14:paraId="24537A5E" w14:textId="77777777" w:rsidR="008B0C96" w:rsidRPr="005E5301" w:rsidRDefault="008B0C96" w:rsidP="00784992">
      <w:pPr>
        <w:spacing w:line="360" w:lineRule="auto"/>
        <w:jc w:val="both"/>
        <w:rPr>
          <w:rFonts w:ascii="Times New Roman" w:hAnsi="Times New Roman" w:cs="Times New Roman"/>
          <w:sz w:val="24"/>
          <w:szCs w:val="24"/>
          <w:lang w:val="en-US"/>
        </w:rPr>
      </w:pPr>
    </w:p>
    <w:p w14:paraId="0E9C69C8" w14:textId="77777777" w:rsidR="00782624" w:rsidRPr="005E5301" w:rsidRDefault="00782624" w:rsidP="00782624">
      <w:pPr>
        <w:spacing w:line="360" w:lineRule="auto"/>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t>EISENBERG, Merle; IZDEBSKI, Adam; KAY, Janet; MORDECHAI, Lee; NEWFIELD, Timothy &amp; POINAR, Hendrik</w:t>
      </w:r>
    </w:p>
    <w:p w14:paraId="2192E2BE" w14:textId="77777777" w:rsidR="00782624" w:rsidRPr="005E5301" w:rsidRDefault="00782624" w:rsidP="00782624">
      <w:pPr>
        <w:spacing w:line="360" w:lineRule="auto"/>
        <w:ind w:left="708" w:hanging="708"/>
        <w:jc w:val="both"/>
        <w:rPr>
          <w:rFonts w:ascii="Times New Roman" w:hAnsi="Times New Roman" w:cs="Times New Roman"/>
          <w:sz w:val="24"/>
          <w:szCs w:val="24"/>
        </w:rPr>
      </w:pPr>
      <w:r w:rsidRPr="00DE23B8">
        <w:rPr>
          <w:rFonts w:ascii="Times New Roman" w:hAnsi="Times New Roman" w:cs="Times New Roman"/>
          <w:sz w:val="24"/>
          <w:szCs w:val="24"/>
          <w:lang w:val="en-US"/>
        </w:rPr>
        <w:t>2019</w:t>
      </w:r>
      <w:r w:rsidRPr="00DE23B8">
        <w:rPr>
          <w:rFonts w:ascii="Times New Roman" w:hAnsi="Times New Roman" w:cs="Times New Roman"/>
          <w:sz w:val="24"/>
          <w:szCs w:val="24"/>
          <w:lang w:val="en-US"/>
        </w:rPr>
        <w:tab/>
        <w:t>“</w:t>
      </w:r>
      <w:r w:rsidRPr="00DE23B8">
        <w:rPr>
          <w:rFonts w:ascii="Times New Roman" w:hAnsi="Times New Roman" w:cs="Times New Roman"/>
          <w:sz w:val="24"/>
          <w:szCs w:val="24"/>
          <w:lang w:val="en-GB"/>
        </w:rPr>
        <w:t>The Justinianic Plague: An inconsequential pandemic</w:t>
      </w:r>
      <w:r>
        <w:rPr>
          <w:rFonts w:ascii="Times New Roman" w:hAnsi="Times New Roman" w:cs="Times New Roman"/>
          <w:sz w:val="24"/>
          <w:szCs w:val="24"/>
          <w:lang w:val="en-US"/>
        </w:rPr>
        <w:t>?”.</w:t>
      </w:r>
      <w:r w:rsidRPr="00DE23B8">
        <w:rPr>
          <w:rFonts w:ascii="Times New Roman" w:hAnsi="Times New Roman" w:cs="Times New Roman"/>
          <w:sz w:val="24"/>
          <w:szCs w:val="24"/>
          <w:lang w:val="en-US"/>
        </w:rPr>
        <w:t xml:space="preserve"> En </w:t>
      </w:r>
      <w:r w:rsidRPr="00DE23B8">
        <w:rPr>
          <w:rFonts w:ascii="Times New Roman" w:hAnsi="Times New Roman" w:cs="Times New Roman"/>
          <w:i/>
          <w:iCs/>
          <w:sz w:val="24"/>
          <w:szCs w:val="24"/>
          <w:lang w:val="en-US"/>
        </w:rPr>
        <w:t>Proceedings of the National Academy of Sciences of the United</w:t>
      </w:r>
      <w:r>
        <w:rPr>
          <w:rFonts w:ascii="Times New Roman" w:hAnsi="Times New Roman" w:cs="Times New Roman"/>
          <w:i/>
          <w:iCs/>
          <w:sz w:val="24"/>
          <w:szCs w:val="24"/>
          <w:lang w:val="en-US"/>
        </w:rPr>
        <w:t xml:space="preserve"> States of America</w:t>
      </w:r>
      <w:r w:rsidRPr="00DE23B8">
        <w:rPr>
          <w:rFonts w:ascii="Times New Roman" w:hAnsi="Times New Roman" w:cs="Times New Roman"/>
          <w:sz w:val="24"/>
          <w:szCs w:val="24"/>
          <w:lang w:val="en-US"/>
        </w:rPr>
        <w:t xml:space="preserve">. </w:t>
      </w:r>
      <w:r w:rsidRPr="005E5301">
        <w:rPr>
          <w:rFonts w:ascii="Times New Roman" w:hAnsi="Times New Roman" w:cs="Times New Roman"/>
          <w:sz w:val="24"/>
          <w:szCs w:val="24"/>
        </w:rPr>
        <w:t>Consulta: 22 de diciembre de 2020.</w:t>
      </w:r>
    </w:p>
    <w:p w14:paraId="1B1158A2" w14:textId="77777777" w:rsidR="00782624" w:rsidRPr="005E5301" w:rsidRDefault="00782624" w:rsidP="00782624">
      <w:pPr>
        <w:spacing w:line="360" w:lineRule="auto"/>
        <w:ind w:left="708" w:hanging="708"/>
        <w:jc w:val="both"/>
        <w:rPr>
          <w:rFonts w:ascii="Times New Roman" w:hAnsi="Times New Roman" w:cs="Times New Roman"/>
          <w:sz w:val="24"/>
          <w:szCs w:val="24"/>
        </w:rPr>
      </w:pPr>
    </w:p>
    <w:p w14:paraId="03820EE1" w14:textId="77777777" w:rsidR="00782624" w:rsidRPr="005E5301" w:rsidRDefault="00782624" w:rsidP="00782624">
      <w:pPr>
        <w:spacing w:line="360" w:lineRule="auto"/>
        <w:ind w:left="708" w:hanging="708"/>
        <w:jc w:val="both"/>
        <w:rPr>
          <w:rFonts w:ascii="Times New Roman" w:hAnsi="Times New Roman" w:cs="Times New Roman"/>
          <w:sz w:val="24"/>
          <w:szCs w:val="24"/>
        </w:rPr>
      </w:pPr>
      <w:r w:rsidRPr="005E5301">
        <w:rPr>
          <w:rFonts w:ascii="Times New Roman" w:hAnsi="Times New Roman" w:cs="Times New Roman"/>
          <w:sz w:val="24"/>
          <w:szCs w:val="24"/>
        </w:rPr>
        <w:tab/>
      </w:r>
      <w:hyperlink r:id="rId8" w:anchor="sec-2" w:history="1">
        <w:r w:rsidRPr="005E5301">
          <w:rPr>
            <w:rStyle w:val="Hyperlink"/>
            <w:rFonts w:ascii="Times New Roman" w:hAnsi="Times New Roman" w:cs="Times New Roman"/>
            <w:sz w:val="24"/>
            <w:szCs w:val="24"/>
          </w:rPr>
          <w:t>https://www.pnas.org/content/116/51/25546#sec-2</w:t>
        </w:r>
      </w:hyperlink>
    </w:p>
    <w:p w14:paraId="163B6D2C" w14:textId="77777777" w:rsidR="00782624" w:rsidRDefault="00782624" w:rsidP="00784992">
      <w:pPr>
        <w:spacing w:line="360" w:lineRule="auto"/>
        <w:jc w:val="both"/>
        <w:rPr>
          <w:rFonts w:ascii="Times New Roman" w:hAnsi="Times New Roman" w:cs="Times New Roman"/>
          <w:sz w:val="24"/>
          <w:szCs w:val="24"/>
        </w:rPr>
      </w:pPr>
    </w:p>
    <w:p w14:paraId="30E995A7" w14:textId="77777777" w:rsidR="00782624" w:rsidRDefault="00782624" w:rsidP="00782624">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GARNSEY, Peter &amp; SALLER, Richard</w:t>
      </w:r>
    </w:p>
    <w:p w14:paraId="6253EF1E" w14:textId="490949B5" w:rsidR="00673C74" w:rsidRPr="005E5301" w:rsidRDefault="00782624" w:rsidP="00673C74">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rPr>
        <w:t>1991</w:t>
      </w:r>
      <w:r>
        <w:rPr>
          <w:rFonts w:ascii="Times New Roman" w:hAnsi="Times New Roman" w:cs="Times New Roman"/>
          <w:sz w:val="24"/>
          <w:szCs w:val="24"/>
        </w:rPr>
        <w:tab/>
      </w:r>
      <w:r>
        <w:rPr>
          <w:rFonts w:ascii="Times New Roman" w:hAnsi="Times New Roman" w:cs="Times New Roman"/>
          <w:i/>
          <w:iCs/>
          <w:sz w:val="24"/>
          <w:szCs w:val="24"/>
        </w:rPr>
        <w:t>El Imperio Romano. Economía, sociedad y cultura</w:t>
      </w:r>
      <w:r>
        <w:rPr>
          <w:rFonts w:ascii="Times New Roman" w:hAnsi="Times New Roman" w:cs="Times New Roman"/>
          <w:sz w:val="24"/>
          <w:szCs w:val="24"/>
        </w:rPr>
        <w:t xml:space="preserve">. </w:t>
      </w:r>
      <w:r w:rsidRPr="005E5301">
        <w:rPr>
          <w:rFonts w:ascii="Times New Roman" w:hAnsi="Times New Roman" w:cs="Times New Roman"/>
          <w:sz w:val="24"/>
          <w:szCs w:val="24"/>
          <w:lang w:val="en-US"/>
        </w:rPr>
        <w:t>Barcelona: Editorial Crítica.</w:t>
      </w:r>
    </w:p>
    <w:p w14:paraId="7370988A" w14:textId="77777777" w:rsidR="00673C74" w:rsidRPr="005E5301" w:rsidRDefault="00673C74" w:rsidP="00673C74">
      <w:pPr>
        <w:spacing w:line="360" w:lineRule="auto"/>
        <w:ind w:left="708" w:hanging="708"/>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lastRenderedPageBreak/>
        <w:t>KHAN ACADEMY</w:t>
      </w:r>
    </w:p>
    <w:p w14:paraId="4198D9BF" w14:textId="77777777" w:rsidR="00673C74" w:rsidRDefault="00673C74" w:rsidP="00673C74">
      <w:pPr>
        <w:spacing w:line="360" w:lineRule="auto"/>
        <w:ind w:left="708" w:hanging="708"/>
        <w:jc w:val="both"/>
        <w:rPr>
          <w:rFonts w:ascii="Times New Roman" w:hAnsi="Times New Roman" w:cs="Times New Roman"/>
          <w:sz w:val="24"/>
          <w:szCs w:val="24"/>
        </w:rPr>
      </w:pPr>
      <w:r w:rsidRPr="00FC132B">
        <w:rPr>
          <w:rFonts w:ascii="Times New Roman" w:hAnsi="Times New Roman" w:cs="Times New Roman"/>
          <w:sz w:val="24"/>
          <w:szCs w:val="24"/>
          <w:lang w:val="en-US"/>
        </w:rPr>
        <w:t>2020</w:t>
      </w:r>
      <w:r w:rsidRPr="00FC132B">
        <w:rPr>
          <w:rFonts w:ascii="Times New Roman" w:hAnsi="Times New Roman" w:cs="Times New Roman"/>
          <w:sz w:val="24"/>
          <w:szCs w:val="24"/>
          <w:lang w:val="en-US"/>
        </w:rPr>
        <w:tab/>
        <w:t xml:space="preserve">“Guided practice: continuity and change in the Byzantine Empire”. </w:t>
      </w:r>
      <w:r>
        <w:rPr>
          <w:rFonts w:ascii="Times New Roman" w:hAnsi="Times New Roman" w:cs="Times New Roman"/>
          <w:sz w:val="24"/>
          <w:szCs w:val="24"/>
        </w:rPr>
        <w:t xml:space="preserve">En </w:t>
      </w:r>
      <w:r>
        <w:rPr>
          <w:rFonts w:ascii="Times New Roman" w:hAnsi="Times New Roman" w:cs="Times New Roman"/>
          <w:i/>
          <w:iCs/>
          <w:sz w:val="24"/>
          <w:szCs w:val="24"/>
        </w:rPr>
        <w:t>Khan Academy</w:t>
      </w:r>
      <w:r>
        <w:rPr>
          <w:rFonts w:ascii="Times New Roman" w:hAnsi="Times New Roman" w:cs="Times New Roman"/>
          <w:sz w:val="24"/>
          <w:szCs w:val="24"/>
        </w:rPr>
        <w:t>. Consulta 22 de diciembre de 2020</w:t>
      </w:r>
    </w:p>
    <w:p w14:paraId="1FE658B8" w14:textId="77777777" w:rsidR="00673C74" w:rsidRDefault="00673C74" w:rsidP="00673C74">
      <w:pPr>
        <w:spacing w:line="360" w:lineRule="auto"/>
        <w:ind w:left="708" w:hanging="708"/>
        <w:jc w:val="both"/>
        <w:rPr>
          <w:rFonts w:ascii="Times New Roman" w:hAnsi="Times New Roman" w:cs="Times New Roman"/>
          <w:sz w:val="24"/>
          <w:szCs w:val="24"/>
        </w:rPr>
      </w:pPr>
    </w:p>
    <w:p w14:paraId="62E646A2" w14:textId="77777777" w:rsidR="00673C74" w:rsidRDefault="00673C74" w:rsidP="00673C74">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9" w:history="1">
        <w:r w:rsidRPr="009A2D8C">
          <w:rPr>
            <w:rStyle w:val="Hyperlink"/>
            <w:rFonts w:ascii="Times New Roman" w:hAnsi="Times New Roman" w:cs="Times New Roman"/>
            <w:sz w:val="24"/>
            <w:szCs w:val="24"/>
          </w:rPr>
          <w:t>https://www.khanacademy.org/humanities/world-history/medieval-times/byzantine-empire/a/the-rise-of-the-byzantine-empire</w:t>
        </w:r>
      </w:hyperlink>
    </w:p>
    <w:p w14:paraId="4DF7F0E1" w14:textId="77777777" w:rsidR="0093592E" w:rsidRDefault="0093592E" w:rsidP="00784992">
      <w:pPr>
        <w:spacing w:line="360" w:lineRule="auto"/>
        <w:jc w:val="both"/>
        <w:rPr>
          <w:rFonts w:ascii="Times New Roman" w:hAnsi="Times New Roman" w:cs="Times New Roman"/>
          <w:sz w:val="24"/>
          <w:szCs w:val="24"/>
        </w:rPr>
      </w:pPr>
    </w:p>
    <w:p w14:paraId="350AA5A4" w14:textId="52F76DDC" w:rsidR="00502733" w:rsidRPr="005E5301" w:rsidRDefault="0058672E" w:rsidP="00784992">
      <w:pPr>
        <w:spacing w:line="360" w:lineRule="auto"/>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t>MACGILLIVRAY, Donald</w:t>
      </w:r>
      <w:r w:rsidR="00773CE4" w:rsidRPr="005E5301">
        <w:rPr>
          <w:rFonts w:ascii="Times New Roman" w:hAnsi="Times New Roman" w:cs="Times New Roman"/>
          <w:sz w:val="24"/>
          <w:szCs w:val="24"/>
          <w:lang w:val="en-US"/>
        </w:rPr>
        <w:t xml:space="preserve"> &amp; TEALL, John</w:t>
      </w:r>
    </w:p>
    <w:p w14:paraId="6BD21CDD" w14:textId="528AC268" w:rsidR="0058672E" w:rsidRDefault="0058672E" w:rsidP="0058672E">
      <w:pPr>
        <w:spacing w:line="360" w:lineRule="auto"/>
        <w:ind w:left="708" w:hanging="708"/>
        <w:jc w:val="both"/>
        <w:rPr>
          <w:rFonts w:ascii="Times New Roman" w:hAnsi="Times New Roman" w:cs="Times New Roman"/>
          <w:sz w:val="24"/>
          <w:szCs w:val="24"/>
        </w:rPr>
      </w:pPr>
      <w:r w:rsidRPr="005E5301">
        <w:rPr>
          <w:rFonts w:ascii="Times New Roman" w:hAnsi="Times New Roman" w:cs="Times New Roman"/>
          <w:sz w:val="24"/>
          <w:szCs w:val="24"/>
          <w:lang w:val="en-US"/>
        </w:rPr>
        <w:t>2020</w:t>
      </w:r>
      <w:r w:rsidRPr="005E5301">
        <w:rPr>
          <w:rFonts w:ascii="Times New Roman" w:hAnsi="Times New Roman" w:cs="Times New Roman"/>
          <w:sz w:val="24"/>
          <w:szCs w:val="24"/>
          <w:lang w:val="en-US"/>
        </w:rPr>
        <w:tab/>
        <w:t xml:space="preserve">“Byzantine Empire”. </w:t>
      </w:r>
      <w:r>
        <w:rPr>
          <w:rFonts w:ascii="Times New Roman" w:hAnsi="Times New Roman" w:cs="Times New Roman"/>
          <w:sz w:val="24"/>
          <w:szCs w:val="24"/>
        </w:rPr>
        <w:t xml:space="preserve">En </w:t>
      </w:r>
      <w:r>
        <w:rPr>
          <w:rFonts w:ascii="Times New Roman" w:hAnsi="Times New Roman" w:cs="Times New Roman"/>
          <w:i/>
          <w:iCs/>
          <w:sz w:val="24"/>
          <w:szCs w:val="24"/>
        </w:rPr>
        <w:t>Encyclopaedia Britannica</w:t>
      </w:r>
      <w:r>
        <w:rPr>
          <w:rFonts w:ascii="Times New Roman" w:hAnsi="Times New Roman" w:cs="Times New Roman"/>
          <w:sz w:val="24"/>
          <w:szCs w:val="24"/>
        </w:rPr>
        <w:t>. Consulta: 22 de diciembre de 2020.</w:t>
      </w:r>
    </w:p>
    <w:p w14:paraId="3050F11D" w14:textId="2C3EBD81" w:rsidR="0058672E" w:rsidRDefault="0058672E" w:rsidP="0058672E">
      <w:pPr>
        <w:spacing w:line="360" w:lineRule="auto"/>
        <w:ind w:left="708" w:hanging="708"/>
        <w:jc w:val="both"/>
        <w:rPr>
          <w:rFonts w:ascii="Times New Roman" w:hAnsi="Times New Roman" w:cs="Times New Roman"/>
          <w:sz w:val="24"/>
          <w:szCs w:val="24"/>
        </w:rPr>
      </w:pPr>
    </w:p>
    <w:p w14:paraId="7DF8BAC7" w14:textId="786E63C2" w:rsidR="0058672E" w:rsidRDefault="0058672E" w:rsidP="0058672E">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10" w:history="1">
        <w:r w:rsidRPr="009A2D8C">
          <w:rPr>
            <w:rStyle w:val="Hyperlink"/>
            <w:rFonts w:ascii="Times New Roman" w:hAnsi="Times New Roman" w:cs="Times New Roman"/>
            <w:sz w:val="24"/>
            <w:szCs w:val="24"/>
          </w:rPr>
          <w:t>https://www.britannica.com/place/Byzantine-Empire</w:t>
        </w:r>
      </w:hyperlink>
    </w:p>
    <w:p w14:paraId="2D80CB24" w14:textId="77777777" w:rsidR="0058672E" w:rsidRDefault="0058672E" w:rsidP="0058672E">
      <w:pPr>
        <w:spacing w:line="360" w:lineRule="auto"/>
        <w:ind w:left="708" w:hanging="708"/>
        <w:jc w:val="both"/>
        <w:rPr>
          <w:rFonts w:ascii="Times New Roman" w:hAnsi="Times New Roman" w:cs="Times New Roman"/>
          <w:sz w:val="24"/>
          <w:szCs w:val="24"/>
        </w:rPr>
      </w:pPr>
    </w:p>
    <w:p w14:paraId="4C2E53EC" w14:textId="77777777" w:rsidR="0093592E" w:rsidRDefault="0093592E" w:rsidP="0093592E">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MARK, Joshua</w:t>
      </w:r>
    </w:p>
    <w:p w14:paraId="28564FBD" w14:textId="77777777" w:rsidR="0093592E" w:rsidRPr="005E5301" w:rsidRDefault="0093592E" w:rsidP="0093592E">
      <w:pPr>
        <w:spacing w:line="360" w:lineRule="auto"/>
        <w:ind w:left="708" w:hanging="708"/>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t>2018</w:t>
      </w:r>
      <w:r w:rsidRPr="005E5301">
        <w:rPr>
          <w:rFonts w:ascii="Times New Roman" w:hAnsi="Times New Roman" w:cs="Times New Roman"/>
          <w:sz w:val="24"/>
          <w:szCs w:val="24"/>
          <w:lang w:val="en-US"/>
        </w:rPr>
        <w:tab/>
        <w:t xml:space="preserve">“Roman Empire”. En </w:t>
      </w:r>
      <w:r w:rsidRPr="003C4B83">
        <w:rPr>
          <w:rFonts w:ascii="Times New Roman" w:hAnsi="Times New Roman" w:cs="Times New Roman"/>
          <w:i/>
          <w:iCs/>
          <w:sz w:val="24"/>
          <w:szCs w:val="24"/>
          <w:lang w:val="en-GB"/>
        </w:rPr>
        <w:t>Ancient History Encyclopedia</w:t>
      </w:r>
      <w:r w:rsidRPr="005E5301">
        <w:rPr>
          <w:rFonts w:ascii="Times New Roman" w:hAnsi="Times New Roman" w:cs="Times New Roman"/>
          <w:sz w:val="24"/>
          <w:szCs w:val="24"/>
          <w:lang w:val="en-US"/>
        </w:rPr>
        <w:t>. Consulta: 22 de diciembre de 2020.</w:t>
      </w:r>
    </w:p>
    <w:p w14:paraId="123DD8AF" w14:textId="77777777" w:rsidR="0093592E" w:rsidRPr="005E5301" w:rsidRDefault="0093592E" w:rsidP="0093592E">
      <w:pPr>
        <w:spacing w:line="360" w:lineRule="auto"/>
        <w:ind w:left="708" w:hanging="708"/>
        <w:jc w:val="both"/>
        <w:rPr>
          <w:rFonts w:ascii="Times New Roman" w:hAnsi="Times New Roman" w:cs="Times New Roman"/>
          <w:sz w:val="24"/>
          <w:szCs w:val="24"/>
          <w:lang w:val="en-US"/>
        </w:rPr>
      </w:pPr>
    </w:p>
    <w:p w14:paraId="69AE6EF0" w14:textId="77777777" w:rsidR="0093592E" w:rsidRPr="005E5301" w:rsidRDefault="0093592E" w:rsidP="0093592E">
      <w:pPr>
        <w:spacing w:line="360" w:lineRule="auto"/>
        <w:ind w:left="708" w:hanging="708"/>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tab/>
      </w:r>
      <w:hyperlink r:id="rId11" w:history="1">
        <w:r w:rsidRPr="005E5301">
          <w:rPr>
            <w:rStyle w:val="Hyperlink"/>
            <w:rFonts w:ascii="Times New Roman" w:hAnsi="Times New Roman" w:cs="Times New Roman"/>
            <w:sz w:val="24"/>
            <w:szCs w:val="24"/>
            <w:lang w:val="en-US"/>
          </w:rPr>
          <w:t>https://www.ancient.eu/Roman_Empire/</w:t>
        </w:r>
      </w:hyperlink>
    </w:p>
    <w:p w14:paraId="04DF8FB5" w14:textId="77777777" w:rsidR="006704A1" w:rsidRDefault="006704A1" w:rsidP="00DE23B8">
      <w:pPr>
        <w:spacing w:line="360" w:lineRule="auto"/>
        <w:ind w:left="708" w:hanging="708"/>
        <w:jc w:val="both"/>
        <w:rPr>
          <w:rFonts w:ascii="Times New Roman" w:hAnsi="Times New Roman" w:cs="Times New Roman"/>
          <w:sz w:val="24"/>
          <w:szCs w:val="24"/>
          <w:lang w:val="en-US"/>
        </w:rPr>
      </w:pPr>
    </w:p>
    <w:p w14:paraId="33871B5B" w14:textId="77777777" w:rsidR="0093592E" w:rsidRDefault="0093592E" w:rsidP="0093592E">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OSTROGORSKY, George</w:t>
      </w:r>
    </w:p>
    <w:p w14:paraId="613151D1" w14:textId="77777777" w:rsidR="0093592E" w:rsidRDefault="0093592E" w:rsidP="0093592E">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lang w:val="en-US"/>
        </w:rPr>
        <w:t>1959</w:t>
      </w:r>
      <w:r>
        <w:rPr>
          <w:rFonts w:ascii="Times New Roman" w:hAnsi="Times New Roman" w:cs="Times New Roman"/>
          <w:sz w:val="24"/>
          <w:szCs w:val="24"/>
          <w:lang w:val="en-US"/>
        </w:rPr>
        <w:tab/>
        <w:t xml:space="preserve">“Byzantine Cities in the Early Middle Ages”. </w:t>
      </w:r>
      <w:r>
        <w:rPr>
          <w:rFonts w:ascii="Times New Roman" w:hAnsi="Times New Roman" w:cs="Times New Roman"/>
          <w:i/>
          <w:iCs/>
          <w:sz w:val="24"/>
          <w:szCs w:val="24"/>
          <w:lang w:val="en-US"/>
        </w:rPr>
        <w:t>Dumbarton Oak Papers</w:t>
      </w:r>
      <w:r>
        <w:rPr>
          <w:rFonts w:ascii="Times New Roman" w:hAnsi="Times New Roman" w:cs="Times New Roman"/>
          <w:sz w:val="24"/>
          <w:szCs w:val="24"/>
          <w:lang w:val="en-US"/>
        </w:rPr>
        <w:t xml:space="preserve">. </w:t>
      </w:r>
      <w:r w:rsidRPr="005E5301">
        <w:rPr>
          <w:rFonts w:ascii="Times New Roman" w:hAnsi="Times New Roman" w:cs="Times New Roman"/>
          <w:sz w:val="24"/>
          <w:szCs w:val="24"/>
          <w:lang w:val="en-US"/>
        </w:rPr>
        <w:t xml:space="preserve">Washington D.C., año 18, vol. 13, pp. 45 – 66. </w:t>
      </w:r>
      <w:r w:rsidRPr="008E521E">
        <w:rPr>
          <w:rFonts w:ascii="Times New Roman" w:hAnsi="Times New Roman" w:cs="Times New Roman"/>
          <w:sz w:val="24"/>
          <w:szCs w:val="24"/>
        </w:rPr>
        <w:t>Consulta: 22 de diciembre de 2</w:t>
      </w:r>
      <w:r>
        <w:rPr>
          <w:rFonts w:ascii="Times New Roman" w:hAnsi="Times New Roman" w:cs="Times New Roman"/>
          <w:sz w:val="24"/>
          <w:szCs w:val="24"/>
        </w:rPr>
        <w:t>020.</w:t>
      </w:r>
    </w:p>
    <w:p w14:paraId="3C1C9E03" w14:textId="77777777" w:rsidR="0093592E" w:rsidRDefault="0093592E" w:rsidP="0093592E">
      <w:pPr>
        <w:spacing w:line="360" w:lineRule="auto"/>
        <w:ind w:left="708" w:hanging="708"/>
        <w:jc w:val="both"/>
        <w:rPr>
          <w:rFonts w:ascii="Times New Roman" w:hAnsi="Times New Roman" w:cs="Times New Roman"/>
          <w:sz w:val="24"/>
          <w:szCs w:val="24"/>
        </w:rPr>
      </w:pPr>
    </w:p>
    <w:p w14:paraId="30E69FD3" w14:textId="77777777" w:rsidR="0093592E" w:rsidRDefault="0093592E" w:rsidP="0093592E">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12" w:anchor="metadata_info_tab_contents" w:history="1">
        <w:r w:rsidRPr="009A2D8C">
          <w:rPr>
            <w:rStyle w:val="Hyperlink"/>
            <w:rFonts w:ascii="Times New Roman" w:hAnsi="Times New Roman" w:cs="Times New Roman"/>
            <w:sz w:val="24"/>
            <w:szCs w:val="24"/>
          </w:rPr>
          <w:t>https://www-jstor-org.ezproxybib.pucp.edu.pe/stable/1291128?seq=1#metadata_info_tab_contents</w:t>
        </w:r>
      </w:hyperlink>
    </w:p>
    <w:p w14:paraId="0C191E63" w14:textId="3AAF822C" w:rsidR="00B00568" w:rsidRDefault="00B00568" w:rsidP="0093592E">
      <w:pPr>
        <w:spacing w:line="360" w:lineRule="auto"/>
        <w:jc w:val="both"/>
        <w:rPr>
          <w:rFonts w:ascii="Times New Roman" w:hAnsi="Times New Roman" w:cs="Times New Roman"/>
          <w:sz w:val="24"/>
          <w:szCs w:val="24"/>
        </w:rPr>
      </w:pPr>
    </w:p>
    <w:p w14:paraId="7A21B363" w14:textId="240F0B20" w:rsidR="00B00568" w:rsidRPr="005E5301" w:rsidRDefault="00B00568" w:rsidP="00DE23B8">
      <w:pPr>
        <w:spacing w:line="360" w:lineRule="auto"/>
        <w:ind w:left="708" w:hanging="708"/>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lastRenderedPageBreak/>
        <w:t>POUNDS, Norman</w:t>
      </w:r>
    </w:p>
    <w:p w14:paraId="702A9BB2" w14:textId="3EF9C65E" w:rsidR="00B00568" w:rsidRDefault="00B00568" w:rsidP="00DE23B8">
      <w:pPr>
        <w:spacing w:line="360" w:lineRule="auto"/>
        <w:ind w:left="708" w:hanging="708"/>
        <w:jc w:val="both"/>
        <w:rPr>
          <w:rFonts w:ascii="Times New Roman" w:hAnsi="Times New Roman" w:cs="Times New Roman"/>
          <w:sz w:val="24"/>
          <w:szCs w:val="24"/>
          <w:lang w:val="en-US"/>
        </w:rPr>
      </w:pPr>
      <w:r w:rsidRPr="00B00568">
        <w:rPr>
          <w:rFonts w:ascii="Times New Roman" w:hAnsi="Times New Roman" w:cs="Times New Roman"/>
          <w:sz w:val="24"/>
          <w:szCs w:val="24"/>
          <w:lang w:val="en-US"/>
        </w:rPr>
        <w:t>2005</w:t>
      </w:r>
      <w:r w:rsidRPr="00B00568">
        <w:rPr>
          <w:rFonts w:ascii="Times New Roman" w:hAnsi="Times New Roman" w:cs="Times New Roman"/>
          <w:sz w:val="24"/>
          <w:szCs w:val="24"/>
          <w:lang w:val="en-US"/>
        </w:rPr>
        <w:tab/>
      </w:r>
      <w:r w:rsidRPr="00B00568">
        <w:rPr>
          <w:rFonts w:ascii="Times New Roman" w:hAnsi="Times New Roman" w:cs="Times New Roman"/>
          <w:i/>
          <w:iCs/>
          <w:sz w:val="24"/>
          <w:szCs w:val="24"/>
          <w:lang w:val="en-US"/>
        </w:rPr>
        <w:t>The Medieval City</w:t>
      </w:r>
      <w:r w:rsidRPr="00B00568">
        <w:rPr>
          <w:rFonts w:ascii="Times New Roman" w:hAnsi="Times New Roman" w:cs="Times New Roman"/>
          <w:sz w:val="24"/>
          <w:szCs w:val="24"/>
          <w:lang w:val="en-US"/>
        </w:rPr>
        <w:t>. Londres: Greenwood P</w:t>
      </w:r>
      <w:r>
        <w:rPr>
          <w:rFonts w:ascii="Times New Roman" w:hAnsi="Times New Roman" w:cs="Times New Roman"/>
          <w:sz w:val="24"/>
          <w:szCs w:val="24"/>
          <w:lang w:val="en-US"/>
        </w:rPr>
        <w:t>ress.</w:t>
      </w:r>
    </w:p>
    <w:p w14:paraId="2F7C7C09" w14:textId="2A756C76" w:rsidR="00FC132B" w:rsidRPr="005E5301" w:rsidRDefault="00FC132B" w:rsidP="0093592E">
      <w:pPr>
        <w:spacing w:line="360" w:lineRule="auto"/>
        <w:jc w:val="both"/>
        <w:rPr>
          <w:rFonts w:ascii="Times New Roman" w:hAnsi="Times New Roman" w:cs="Times New Roman"/>
          <w:sz w:val="24"/>
          <w:szCs w:val="24"/>
          <w:lang w:val="en-US"/>
        </w:rPr>
      </w:pPr>
    </w:p>
    <w:p w14:paraId="75CEB9FD" w14:textId="460A4C60" w:rsidR="00FC132B" w:rsidRPr="005E5301" w:rsidRDefault="00FC132B" w:rsidP="00A822AB">
      <w:pPr>
        <w:spacing w:line="360" w:lineRule="auto"/>
        <w:ind w:left="708" w:hanging="708"/>
        <w:jc w:val="both"/>
        <w:rPr>
          <w:rFonts w:ascii="Times New Roman" w:hAnsi="Times New Roman" w:cs="Times New Roman"/>
          <w:sz w:val="24"/>
          <w:szCs w:val="24"/>
          <w:lang w:val="en-US"/>
        </w:rPr>
      </w:pPr>
      <w:r w:rsidRPr="005E5301">
        <w:rPr>
          <w:rFonts w:ascii="Times New Roman" w:hAnsi="Times New Roman" w:cs="Times New Roman"/>
          <w:sz w:val="24"/>
          <w:szCs w:val="24"/>
          <w:lang w:val="en-US"/>
        </w:rPr>
        <w:t>SARRIS, Peter</w:t>
      </w:r>
    </w:p>
    <w:p w14:paraId="1420D1AC" w14:textId="2460EFCF" w:rsidR="00FC132B" w:rsidRPr="005E5301" w:rsidRDefault="00FC132B" w:rsidP="00A822AB">
      <w:pPr>
        <w:spacing w:line="360" w:lineRule="auto"/>
        <w:ind w:left="708" w:hanging="708"/>
        <w:jc w:val="both"/>
        <w:rPr>
          <w:rFonts w:ascii="Times New Roman" w:hAnsi="Times New Roman" w:cs="Times New Roman"/>
          <w:sz w:val="24"/>
          <w:szCs w:val="24"/>
        </w:rPr>
      </w:pPr>
      <w:r w:rsidRPr="00FC132B">
        <w:rPr>
          <w:rFonts w:ascii="Times New Roman" w:hAnsi="Times New Roman" w:cs="Times New Roman"/>
          <w:sz w:val="24"/>
          <w:szCs w:val="24"/>
          <w:lang w:val="en-US"/>
        </w:rPr>
        <w:t>2002</w:t>
      </w:r>
      <w:r w:rsidRPr="00FC132B">
        <w:rPr>
          <w:rFonts w:ascii="Times New Roman" w:hAnsi="Times New Roman" w:cs="Times New Roman"/>
          <w:sz w:val="24"/>
          <w:szCs w:val="24"/>
          <w:lang w:val="en-US"/>
        </w:rPr>
        <w:tab/>
        <w:t>“The Justinianic plague: origins and e</w:t>
      </w:r>
      <w:r>
        <w:rPr>
          <w:rFonts w:ascii="Times New Roman" w:hAnsi="Times New Roman" w:cs="Times New Roman"/>
          <w:sz w:val="24"/>
          <w:szCs w:val="24"/>
          <w:lang w:val="en-US"/>
        </w:rPr>
        <w:t xml:space="preserve">ffects”. </w:t>
      </w:r>
      <w:r w:rsidR="002F7A76" w:rsidRPr="005E5301">
        <w:rPr>
          <w:rFonts w:ascii="Times New Roman" w:hAnsi="Times New Roman" w:cs="Times New Roman"/>
          <w:i/>
          <w:iCs/>
          <w:sz w:val="24"/>
          <w:szCs w:val="24"/>
        </w:rPr>
        <w:t>Continuity and Change</w:t>
      </w:r>
      <w:r w:rsidR="002F7A76" w:rsidRPr="005E5301">
        <w:rPr>
          <w:rFonts w:ascii="Times New Roman" w:hAnsi="Times New Roman" w:cs="Times New Roman"/>
          <w:sz w:val="24"/>
          <w:szCs w:val="24"/>
        </w:rPr>
        <w:t>. Cambridge, año 16, vol. 17, número 2, pp. 169 – 182. Consulta: 22 de diciembre de 2020.</w:t>
      </w:r>
    </w:p>
    <w:p w14:paraId="35DCA00E" w14:textId="6BF51A57" w:rsidR="002F7A76" w:rsidRPr="005E5301" w:rsidRDefault="002F7A76" w:rsidP="00A822AB">
      <w:pPr>
        <w:spacing w:line="360" w:lineRule="auto"/>
        <w:ind w:left="708" w:hanging="708"/>
        <w:jc w:val="both"/>
        <w:rPr>
          <w:rFonts w:ascii="Times New Roman" w:hAnsi="Times New Roman" w:cs="Times New Roman"/>
          <w:sz w:val="24"/>
          <w:szCs w:val="24"/>
        </w:rPr>
      </w:pPr>
    </w:p>
    <w:p w14:paraId="350072F8" w14:textId="2FC11BD0" w:rsidR="002F7A76" w:rsidRPr="005E5301" w:rsidRDefault="002F7A76" w:rsidP="00A822AB">
      <w:pPr>
        <w:spacing w:line="360" w:lineRule="auto"/>
        <w:ind w:left="708" w:hanging="708"/>
        <w:jc w:val="both"/>
        <w:rPr>
          <w:rFonts w:ascii="Times New Roman" w:hAnsi="Times New Roman" w:cs="Times New Roman"/>
          <w:sz w:val="24"/>
          <w:szCs w:val="24"/>
        </w:rPr>
      </w:pPr>
      <w:r w:rsidRPr="005E5301">
        <w:rPr>
          <w:rFonts w:ascii="Times New Roman" w:hAnsi="Times New Roman" w:cs="Times New Roman"/>
          <w:sz w:val="24"/>
          <w:szCs w:val="24"/>
        </w:rPr>
        <w:tab/>
      </w:r>
      <w:hyperlink r:id="rId13" w:history="1">
        <w:r w:rsidRPr="005E5301">
          <w:rPr>
            <w:rStyle w:val="Hyperlink"/>
            <w:rFonts w:ascii="Times New Roman" w:hAnsi="Times New Roman" w:cs="Times New Roman"/>
            <w:sz w:val="24"/>
            <w:szCs w:val="24"/>
          </w:rPr>
          <w:t>https://www.academia.edu/37861466/The_Justinianic_plague_origins_and_effects</w:t>
        </w:r>
      </w:hyperlink>
    </w:p>
    <w:p w14:paraId="10D80025" w14:textId="77777777" w:rsidR="002F7A76" w:rsidRPr="005E5301" w:rsidRDefault="002F7A76" w:rsidP="00A822AB">
      <w:pPr>
        <w:spacing w:line="360" w:lineRule="auto"/>
        <w:ind w:left="708" w:hanging="708"/>
        <w:jc w:val="both"/>
        <w:rPr>
          <w:rFonts w:ascii="Times New Roman" w:hAnsi="Times New Roman" w:cs="Times New Roman"/>
          <w:sz w:val="24"/>
          <w:szCs w:val="24"/>
        </w:rPr>
      </w:pPr>
    </w:p>
    <w:sectPr w:rsidR="002F7A76" w:rsidRPr="005E5301">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AAC16" w14:textId="77777777" w:rsidR="00F56EB9" w:rsidRDefault="00F56EB9" w:rsidP="003F67E4">
      <w:pPr>
        <w:spacing w:after="0" w:line="240" w:lineRule="auto"/>
      </w:pPr>
      <w:r>
        <w:separator/>
      </w:r>
    </w:p>
  </w:endnote>
  <w:endnote w:type="continuationSeparator" w:id="0">
    <w:p w14:paraId="7AE5A5DF" w14:textId="77777777" w:rsidR="00F56EB9" w:rsidRDefault="00F56EB9" w:rsidP="003F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8E536" w14:textId="77777777" w:rsidR="00F56EB9" w:rsidRDefault="00F56EB9" w:rsidP="003F67E4">
      <w:pPr>
        <w:spacing w:after="0" w:line="240" w:lineRule="auto"/>
      </w:pPr>
      <w:r>
        <w:separator/>
      </w:r>
    </w:p>
  </w:footnote>
  <w:footnote w:type="continuationSeparator" w:id="0">
    <w:p w14:paraId="4040483D" w14:textId="77777777" w:rsidR="00F56EB9" w:rsidRDefault="00F56EB9" w:rsidP="003F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28171" w14:textId="22789E68" w:rsidR="003F67E4" w:rsidRDefault="003F67E4">
    <w:pPr>
      <w:pStyle w:val="Header"/>
    </w:pPr>
    <w:r>
      <w:t>Sebastián Daniel Gómez Farje</w:t>
    </w:r>
    <w:r>
      <w:tab/>
    </w:r>
    <w:r>
      <w:tab/>
      <w:t>20200901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92"/>
    <w:rsid w:val="00004993"/>
    <w:rsid w:val="0002374E"/>
    <w:rsid w:val="00026EA6"/>
    <w:rsid w:val="000B0311"/>
    <w:rsid w:val="000F35D4"/>
    <w:rsid w:val="000F41D2"/>
    <w:rsid w:val="000F6DED"/>
    <w:rsid w:val="00100C1D"/>
    <w:rsid w:val="001518A1"/>
    <w:rsid w:val="001B22EA"/>
    <w:rsid w:val="001B5417"/>
    <w:rsid w:val="001C6232"/>
    <w:rsid w:val="001D18F4"/>
    <w:rsid w:val="001D7ACA"/>
    <w:rsid w:val="001E5B7C"/>
    <w:rsid w:val="001F40BC"/>
    <w:rsid w:val="001F67F4"/>
    <w:rsid w:val="00216450"/>
    <w:rsid w:val="002438FC"/>
    <w:rsid w:val="00250101"/>
    <w:rsid w:val="00257EAA"/>
    <w:rsid w:val="00287C4C"/>
    <w:rsid w:val="002F7A76"/>
    <w:rsid w:val="00324257"/>
    <w:rsid w:val="00340200"/>
    <w:rsid w:val="00342E9B"/>
    <w:rsid w:val="00351323"/>
    <w:rsid w:val="003C4B83"/>
    <w:rsid w:val="003F379D"/>
    <w:rsid w:val="003F67E4"/>
    <w:rsid w:val="00405F1F"/>
    <w:rsid w:val="0043340D"/>
    <w:rsid w:val="00440F45"/>
    <w:rsid w:val="00455EA5"/>
    <w:rsid w:val="00462EFB"/>
    <w:rsid w:val="004816D4"/>
    <w:rsid w:val="004833B3"/>
    <w:rsid w:val="004841FE"/>
    <w:rsid w:val="004C02BC"/>
    <w:rsid w:val="00502733"/>
    <w:rsid w:val="0052723A"/>
    <w:rsid w:val="0054282B"/>
    <w:rsid w:val="005605A9"/>
    <w:rsid w:val="0056519E"/>
    <w:rsid w:val="00565DC1"/>
    <w:rsid w:val="0058672E"/>
    <w:rsid w:val="005E5301"/>
    <w:rsid w:val="005F68B3"/>
    <w:rsid w:val="00612420"/>
    <w:rsid w:val="006144FB"/>
    <w:rsid w:val="006312F8"/>
    <w:rsid w:val="006571F3"/>
    <w:rsid w:val="006704A1"/>
    <w:rsid w:val="00673C74"/>
    <w:rsid w:val="00690637"/>
    <w:rsid w:val="00694D4C"/>
    <w:rsid w:val="006B2756"/>
    <w:rsid w:val="006D6925"/>
    <w:rsid w:val="00711845"/>
    <w:rsid w:val="00730727"/>
    <w:rsid w:val="007318E8"/>
    <w:rsid w:val="0074772B"/>
    <w:rsid w:val="00761A01"/>
    <w:rsid w:val="007736A4"/>
    <w:rsid w:val="00773CE4"/>
    <w:rsid w:val="00782624"/>
    <w:rsid w:val="00784992"/>
    <w:rsid w:val="007A7E49"/>
    <w:rsid w:val="007B5F6D"/>
    <w:rsid w:val="007D39F4"/>
    <w:rsid w:val="007D3A2D"/>
    <w:rsid w:val="007D7865"/>
    <w:rsid w:val="007E6AB3"/>
    <w:rsid w:val="008276E0"/>
    <w:rsid w:val="00844434"/>
    <w:rsid w:val="00845F77"/>
    <w:rsid w:val="00846D37"/>
    <w:rsid w:val="00850D73"/>
    <w:rsid w:val="008518CF"/>
    <w:rsid w:val="00853277"/>
    <w:rsid w:val="00866307"/>
    <w:rsid w:val="00871B70"/>
    <w:rsid w:val="0088740F"/>
    <w:rsid w:val="00890005"/>
    <w:rsid w:val="008A5A93"/>
    <w:rsid w:val="008B0C96"/>
    <w:rsid w:val="008C0340"/>
    <w:rsid w:val="008C7FDE"/>
    <w:rsid w:val="008E521E"/>
    <w:rsid w:val="0093592E"/>
    <w:rsid w:val="0099157A"/>
    <w:rsid w:val="00993A17"/>
    <w:rsid w:val="009963F0"/>
    <w:rsid w:val="009A0F44"/>
    <w:rsid w:val="009A2980"/>
    <w:rsid w:val="009F1960"/>
    <w:rsid w:val="009F610E"/>
    <w:rsid w:val="00A20559"/>
    <w:rsid w:val="00A3169A"/>
    <w:rsid w:val="00A37A72"/>
    <w:rsid w:val="00A62664"/>
    <w:rsid w:val="00A822AB"/>
    <w:rsid w:val="00A84DBB"/>
    <w:rsid w:val="00A944BA"/>
    <w:rsid w:val="00AB2865"/>
    <w:rsid w:val="00AB379F"/>
    <w:rsid w:val="00AB4155"/>
    <w:rsid w:val="00AC429E"/>
    <w:rsid w:val="00AC4466"/>
    <w:rsid w:val="00AD0069"/>
    <w:rsid w:val="00AD0F90"/>
    <w:rsid w:val="00B00568"/>
    <w:rsid w:val="00B32E2A"/>
    <w:rsid w:val="00B67749"/>
    <w:rsid w:val="00B9420C"/>
    <w:rsid w:val="00BA18A1"/>
    <w:rsid w:val="00BC765B"/>
    <w:rsid w:val="00BE16CD"/>
    <w:rsid w:val="00C03217"/>
    <w:rsid w:val="00C06584"/>
    <w:rsid w:val="00C30034"/>
    <w:rsid w:val="00C360CF"/>
    <w:rsid w:val="00C40453"/>
    <w:rsid w:val="00C563E1"/>
    <w:rsid w:val="00C95AA1"/>
    <w:rsid w:val="00D246A1"/>
    <w:rsid w:val="00D33F17"/>
    <w:rsid w:val="00D445BC"/>
    <w:rsid w:val="00D756E3"/>
    <w:rsid w:val="00D85D40"/>
    <w:rsid w:val="00D862CD"/>
    <w:rsid w:val="00D9391C"/>
    <w:rsid w:val="00DA1495"/>
    <w:rsid w:val="00DB2B1B"/>
    <w:rsid w:val="00DE23B8"/>
    <w:rsid w:val="00E06FB3"/>
    <w:rsid w:val="00E12270"/>
    <w:rsid w:val="00E16E10"/>
    <w:rsid w:val="00E272FB"/>
    <w:rsid w:val="00E40458"/>
    <w:rsid w:val="00E73E74"/>
    <w:rsid w:val="00EA2318"/>
    <w:rsid w:val="00EC354A"/>
    <w:rsid w:val="00EE1962"/>
    <w:rsid w:val="00EE57DB"/>
    <w:rsid w:val="00EF5CB7"/>
    <w:rsid w:val="00F40C23"/>
    <w:rsid w:val="00F56EB9"/>
    <w:rsid w:val="00F57D13"/>
    <w:rsid w:val="00F7510E"/>
    <w:rsid w:val="00F9004A"/>
    <w:rsid w:val="00FA07EB"/>
    <w:rsid w:val="00FA3575"/>
    <w:rsid w:val="00FC132B"/>
    <w:rsid w:val="00FF54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883C"/>
  <w15:chartTrackingRefBased/>
  <w15:docId w15:val="{F02358E7-7053-4FBE-8942-AF0EAF01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7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7E4"/>
  </w:style>
  <w:style w:type="paragraph" w:styleId="Footer">
    <w:name w:val="footer"/>
    <w:basedOn w:val="Normal"/>
    <w:link w:val="FooterChar"/>
    <w:uiPriority w:val="99"/>
    <w:unhideWhenUsed/>
    <w:rsid w:val="003F67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7E4"/>
  </w:style>
  <w:style w:type="character" w:styleId="Hyperlink">
    <w:name w:val="Hyperlink"/>
    <w:basedOn w:val="DefaultParagraphFont"/>
    <w:uiPriority w:val="99"/>
    <w:unhideWhenUsed/>
    <w:rsid w:val="0058672E"/>
    <w:rPr>
      <w:color w:val="0563C1" w:themeColor="hyperlink"/>
      <w:u w:val="single"/>
    </w:rPr>
  </w:style>
  <w:style w:type="character" w:styleId="UnresolvedMention">
    <w:name w:val="Unresolved Mention"/>
    <w:basedOn w:val="DefaultParagraphFont"/>
    <w:uiPriority w:val="99"/>
    <w:semiHidden/>
    <w:unhideWhenUsed/>
    <w:rsid w:val="00586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6/51/25546" TargetMode="External"/><Relationship Id="rId13" Type="http://schemas.openxmlformats.org/officeDocument/2006/relationships/hyperlink" Target="https://www.academia.edu/37861466/The_Justinianic_plague_origins_and_effects" TargetMode="External"/><Relationship Id="rId3" Type="http://schemas.openxmlformats.org/officeDocument/2006/relationships/webSettings" Target="webSettings.xml"/><Relationship Id="rId7" Type="http://schemas.openxmlformats.org/officeDocument/2006/relationships/hyperlink" Target="https://www.nature.com/articles/s41467-018-04550-9" TargetMode="External"/><Relationship Id="rId12" Type="http://schemas.openxmlformats.org/officeDocument/2006/relationships/hyperlink" Target="https://www-jstor-org.ezproxybib.pucp.edu.pe/stable/1291128?seq=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stor.org/stable/44172672?seq=1" TargetMode="External"/><Relationship Id="rId11" Type="http://schemas.openxmlformats.org/officeDocument/2006/relationships/hyperlink" Target="https://www.ancient.eu/Roman_Empir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britannica.com/place/Byzantine-Empire" TargetMode="External"/><Relationship Id="rId4" Type="http://schemas.openxmlformats.org/officeDocument/2006/relationships/footnotes" Target="footnotes.xml"/><Relationship Id="rId9" Type="http://schemas.openxmlformats.org/officeDocument/2006/relationships/hyperlink" Target="https://www.khanacademy.org/humanities/world-history/medieval-times/byzantine-empire/a/the-rise-of-the-byzantine-empi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7</Pages>
  <Words>2017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Daniel Gómez Farje</dc:creator>
  <cp:keywords/>
  <dc:description/>
  <cp:lastModifiedBy>Sebastián Daniel Gómez Farje</cp:lastModifiedBy>
  <cp:revision>140</cp:revision>
  <dcterms:created xsi:type="dcterms:W3CDTF">2020-12-20T06:08:00Z</dcterms:created>
  <dcterms:modified xsi:type="dcterms:W3CDTF">2020-12-23T17:06:00Z</dcterms:modified>
</cp:coreProperties>
</file>