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0.9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Estado del documento.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Esta edición acompaña la prueba funcional. Las capturas internas y cualquier ajuste encontrado se incorporarán en la versión 1.0.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0.9 – preliminar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Después de la prueba funcional integral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Regla general.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Nunca comparta su contraseña. No elimine ni corrija movimientos financieros por fuera del procedimiento autorizado. Ante una diferencia, registre lo ocurrido y comuníquelo al supervisor.</w:t>
            </w:r>
          </w:p>
        </w:tc>
      </w:tr>
    </w:tbl>
    <w:p>
      <w:pPr>
        <w:spacing w:after="20"/>
      </w:pPr>
    </w:p>
    <w:p>
      <w:pPr>
        <w:pStyle w:val="Heading1"/>
      </w:pPr>
      <w:r>
        <w:t>Contenido</w:t>
      </w:r>
    </w:p>
    <w:p>
      <w:pPr>
        <w:pStyle w:val="ListNumber"/>
      </w:pPr>
      <w:r>
        <w:t>1. Acceso y navegación</w:t>
      </w:r>
    </w:p>
    <w:p>
      <w:pPr>
        <w:pStyle w:val="ListNumber"/>
      </w:pPr>
      <w:r>
        <w:t>2. Roles y responsabilidades</w:t>
      </w:r>
    </w:p>
    <w:p>
      <w:pPr>
        <w:pStyle w:val="ListNumber"/>
      </w:pPr>
      <w:r>
        <w:t>3. Inicio y tablero</w:t>
      </w:r>
    </w:p>
    <w:p>
      <w:pPr>
        <w:pStyle w:val="ListNumber"/>
      </w:pPr>
      <w:r>
        <w:t>4. Catálogo de productos</w:t>
      </w:r>
    </w:p>
    <w:p>
      <w:pPr>
        <w:pStyle w:val="ListNumber"/>
      </w:pPr>
      <w:r>
        <w:t>5. Inventario</w:t>
      </w:r>
    </w:p>
    <w:p>
      <w:pPr>
        <w:pStyle w:val="ListNumber"/>
      </w:pPr>
      <w:r>
        <w:t>6. Proveedores y compras</w:t>
      </w:r>
    </w:p>
    <w:p>
      <w:pPr>
        <w:pStyle w:val="ListNumber"/>
      </w:pPr>
      <w:r>
        <w:t>7. Clientes y cuentas corrientes</w:t>
      </w:r>
    </w:p>
    <w:p>
      <w:pPr>
        <w:pStyle w:val="ListNumber"/>
      </w:pPr>
      <w:r>
        <w:t>8. Punto de venta</w:t>
      </w:r>
    </w:p>
    <w:p>
      <w:pPr>
        <w:pStyle w:val="ListNumber"/>
      </w:pPr>
      <w:r>
        <w:t>9. Cambios y devoluciones</w:t>
      </w:r>
    </w:p>
    <w:p>
      <w:pPr>
        <w:pStyle w:val="ListNumber"/>
      </w:pPr>
      <w:r>
        <w:t>10. Caja</w:t>
      </w:r>
    </w:p>
    <w:p>
      <w:pPr>
        <w:pStyle w:val="ListNumber"/>
      </w:pPr>
      <w:r>
        <w:t>11. Gastos y servicios</w:t>
      </w:r>
    </w:p>
    <w:p>
      <w:pPr>
        <w:pStyle w:val="ListNumber"/>
      </w:pPr>
      <w:r>
        <w:t>12. Empleados y sueldos</w:t>
      </w:r>
    </w:p>
    <w:p>
      <w:pPr>
        <w:pStyle w:val="ListNumber"/>
      </w:pPr>
      <w:r>
        <w:t>13. Tesorería</w:t>
      </w:r>
    </w:p>
    <w:p>
      <w:pPr>
        <w:pStyle w:val="ListNumber"/>
      </w:pPr>
      <w:r>
        <w:t>14. Reportes</w:t>
      </w:r>
    </w:p>
    <w:p>
      <w:pPr>
        <w:pStyle w:val="ListNumber"/>
      </w:pPr>
      <w:r>
        <w:t>15. Cierre diario y controles</w:t>
      </w:r>
    </w:p>
    <w:p>
      <w:pPr>
        <w:pStyle w:val="ListNumber"/>
      </w:pPr>
      <w:r>
        <w:t>16. Problemas frecuentes</w:t>
      </w:r>
    </w:p>
    <w:p>
      <w:pPr>
        <w:pStyle w:val="ListNumber"/>
      </w:pPr>
      <w:r>
        <w:t>17.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Usuarios, catálogo, finanzas, personal, reportes y correcciones autorizadas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Seguimiento operativo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Compras, inventario, cuentas, gastos, personal y reportes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 autorizadas, cambios y cierre de su propia caja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Separación de funciones.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Cada cajero debe utilizar su propio usuario y su propia caja. La caja física no debe abrirse simultáneamente desde dos sesiones.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INICIO · se incorporará después de la prueba funcional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Precios.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El precio mayorista importado se interpreta como precio de costo. El precio de venta puede calcularse aplicando un porcentaje sobre ese costo.</w:t>
            </w:r>
          </w:p>
        </w:tc>
      </w:tr>
    </w:tbl>
    <w:p>
      <w:pPr>
        <w:spacing w:after="20"/>
      </w:pP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CATÁLOGO · se incorporará después de la prueba funcional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Control.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Todo ajuste debe tener una causa real: conteo, rotura, merma, corrección documentada o consumo interno. No utilice ajustes para ocultar errores de venta o compra.</w:t>
            </w:r>
          </w:p>
        </w:tc>
      </w:tr>
    </w:tbl>
    <w:p>
      <w:pPr>
        <w:spacing w:after="20"/>
      </w:pP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INVENTARIO · se incorporará después de la prueba funcional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Compras realizadas personalmente.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Aunque el dueño o empleado retire la mercadería, la compra debe registrarse al proveedor que emitió la factura o entregó los productos.</w:t>
            </w:r>
          </w:p>
        </w:tc>
      </w:tr>
    </w:tbl>
    <w:p>
      <w:pPr>
        <w:spacing w:after="20"/>
      </w:pP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COMPRAS Y PROVEEDORES · se incorporará después de la prueba funcional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Crédito responsable.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No habilite crédito sin autorización. Antes de vender, revise saldo, límite disponible y vencimientos anteriores.</w:t>
            </w:r>
          </w:p>
        </w:tc>
      </w:tr>
    </w:tbl>
    <w:p>
      <w:pPr>
        <w:spacing w:after="20"/>
      </w:pP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CLIENTES · se incorporará después de la prueba funcional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Operación rápida.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Flecha arriba desde el primer resultado vuelve al campo de búsqueda. Al llegar al último resultado, la navegación continúa como un único control entre búsqueda y grilla.</w:t>
            </w:r>
          </w:p>
        </w:tc>
      </w:tr>
    </w:tbl>
    <w:p>
      <w:pPr>
        <w:spacing w:after="20"/>
      </w:pP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PUNTO DE VENTA · se incorporará después de la prueba funcional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No eliminar.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Las ventas y movimientos financieros no deben borrarse. Utilice anulaciones, devoluciones o contramovimientos para conservar trazabilidad.</w:t>
            </w:r>
          </w:p>
        </w:tc>
      </w:tr>
    </w:tbl>
    <w:p>
      <w:pPr>
        <w:spacing w:after="20"/>
      </w:pP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Diferencias.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Nunca modifique ventas o movimientos para forzar el cierre. La diferencia debe quedar registrada y ser revisada por el supervisor.</w:t>
            </w:r>
          </w:p>
        </w:tc>
      </w:tr>
    </w:tbl>
    <w:p>
      <w:pPr>
        <w:spacing w:after="20"/>
      </w:pP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CIERRE DE CAJA · se incorporará después de la prueba funcional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Efectivo.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Para pagar en efectivo debe existir una caja abierta para el usuario. Ese importe reduce automáticamente el efectivo esperado de la caja.</w:t>
            </w:r>
          </w:p>
        </w:tc>
      </w:tr>
    </w:tbl>
    <w:p>
      <w:pPr>
        <w:spacing w:after="20"/>
      </w:pP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GASTOS · se incorporará después de la prueba funcional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Cálculo.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Neto = sueldo base + adicionales − descuentos − adelantos aplicados. Esta liquidación es un control administrativo y no reemplaza la documentación laboral o impositiva exigible.</w:t>
            </w:r>
          </w:p>
        </w:tc>
      </w:tr>
    </w:tbl>
    <w:p>
      <w:pPr>
        <w:spacing w:after="20"/>
      </w:pP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EMPLEADOS · se incorporará después de la prueba funcional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Evitar duplicaciones.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Hasta completar la integración automática definitiva, verifique que un pago ya registrado en Proveedores, Gastos o Sueldos no vuelva a ingresarse manualmente como egreso sin una referencia clara.</w:t>
            </w:r>
          </w:p>
        </w:tc>
      </w:tr>
    </w:tbl>
    <w:p>
      <w:pPr>
        <w:spacing w:after="20"/>
      </w:pP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TESORERÍA · se incorporará después de la prueba funcional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Alcance.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Los reportes son herramientas de gestión. No sustituyen libros contables, declaraciones impositivas ni documentación fiscal oficial.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Cierre diario y controles</w:t>
      </w:r>
    </w:p>
    <w:p>
      <w:pPr>
        <w:pStyle w:val="Heading2"/>
      </w:pPr>
      <w:r>
        <w:t>15.1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15.2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16.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Criterio de salida.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La versión 1.0 del manual se emitirá cuando esta lista haya sido ejecutada, se incorporen las capturas internas y se documenten las correcciones finales.</w:t>
            </w:r>
          </w:p>
        </w:tc>
      </w:tr>
    </w:tbl>
    <w:p>
      <w:pPr>
        <w:spacing w:after="20"/>
      </w:pP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0.9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preliminar versión 0.9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