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2797" w14:textId="37C67D6F" w:rsidR="00D36607" w:rsidRDefault="00D36607" w:rsidP="00D36607">
      <w:pPr>
        <w:pStyle w:val="Titel"/>
      </w:pPr>
      <w:proofErr w:type="spellStart"/>
      <w:r>
        <w:t>Baysian</w:t>
      </w:r>
      <w:proofErr w:type="spellEnd"/>
      <w:r>
        <w:t xml:space="preserve"> </w:t>
      </w:r>
      <w:proofErr w:type="spellStart"/>
      <w:r>
        <w:t>Inference</w:t>
      </w:r>
      <w:proofErr w:type="spellEnd"/>
    </w:p>
    <w:p w14:paraId="54C6DDBF" w14:textId="6C35BABB" w:rsidR="00D36607" w:rsidRDefault="00D36607" w:rsidP="00D36607"/>
    <w:p w14:paraId="6BD505F6" w14:textId="6F108B11" w:rsidR="00D36607" w:rsidRPr="00D36607" w:rsidRDefault="00D36607" w:rsidP="00D36607">
      <w:pPr>
        <w:rPr>
          <w:lang w:val="en-US"/>
        </w:rPr>
      </w:pPr>
      <w:r w:rsidRPr="00D36607">
        <w:rPr>
          <w:lang w:val="en-US"/>
        </w:rPr>
        <w:t>Firstly, (statistical) </w:t>
      </w:r>
      <w:r w:rsidRPr="00D36607">
        <w:rPr>
          <w:b/>
          <w:bCs/>
          <w:lang w:val="en-US"/>
        </w:rPr>
        <w:t>inference </w:t>
      </w:r>
      <w:r w:rsidRPr="00D36607">
        <w:rPr>
          <w:lang w:val="en-US"/>
        </w:rPr>
        <w:t>is the process of deducing properties about a population or probability distribution from data.</w:t>
      </w:r>
      <w:r w:rsidRPr="00D36607">
        <w:rPr>
          <w:lang w:val="en-US"/>
        </w:rPr>
        <w:t xml:space="preserve"> Maximum Likelihood is a good example.</w:t>
      </w:r>
    </w:p>
    <w:p w14:paraId="68B40EAD" w14:textId="5EA3DFD5" w:rsidR="00D36607" w:rsidRPr="00D36607" w:rsidRDefault="00D36607" w:rsidP="00D36607">
      <w:pPr>
        <w:rPr>
          <w:lang w:val="en-US"/>
        </w:rPr>
      </w:pPr>
    </w:p>
    <w:p w14:paraId="4CDAC570" w14:textId="77777777" w:rsidR="00D36607" w:rsidRPr="00D36607" w:rsidRDefault="00D36607" w:rsidP="00D36607">
      <w:r w:rsidRPr="00D36607">
        <w:rPr>
          <w:b/>
          <w:bCs/>
          <w:lang w:val="en-US"/>
        </w:rPr>
        <w:t>Bayesian inference </w:t>
      </w:r>
      <w:r w:rsidRPr="00D36607">
        <w:rPr>
          <w:lang w:val="en-US"/>
        </w:rPr>
        <w:t>is therefore just the process of deducing properties about a population or probability distribution from data </w:t>
      </w:r>
      <w:r w:rsidRPr="00D36607">
        <w:rPr>
          <w:i/>
          <w:iCs/>
          <w:lang w:val="en-US"/>
        </w:rPr>
        <w:t>using Bayes’ theorem.</w:t>
      </w:r>
      <w:r w:rsidRPr="00D36607">
        <w:rPr>
          <w:lang w:val="en-US"/>
        </w:rPr>
        <w:t> </w:t>
      </w:r>
      <w:proofErr w:type="spellStart"/>
      <w:r w:rsidRPr="00D36607">
        <w:t>That’s</w:t>
      </w:r>
      <w:proofErr w:type="spellEnd"/>
      <w:r w:rsidRPr="00D36607">
        <w:t xml:space="preserve"> it.</w:t>
      </w:r>
    </w:p>
    <w:p w14:paraId="4FCED82D" w14:textId="2FA3C724" w:rsidR="00D36607" w:rsidRDefault="00D36607" w:rsidP="00D36607"/>
    <w:p w14:paraId="2F2C2E83" w14:textId="4F54E057" w:rsidR="00AF3709" w:rsidRDefault="00D36607" w:rsidP="00D36607">
      <w:pPr>
        <w:rPr>
          <w:lang w:val="en-US"/>
        </w:rPr>
      </w:pPr>
      <w:r w:rsidRPr="00AF3709">
        <w:rPr>
          <w:lang w:val="en-US"/>
        </w:rPr>
        <w:t xml:space="preserve">Problem with </w:t>
      </w:r>
      <w:r w:rsidR="00AF3709" w:rsidRPr="00AF3709">
        <w:rPr>
          <w:lang w:val="en-US"/>
        </w:rPr>
        <w:t>maximum likelihood: It is a fixed value</w:t>
      </w:r>
      <w:r w:rsidR="00AF3709">
        <w:rPr>
          <w:lang w:val="en-US"/>
        </w:rPr>
        <w:t xml:space="preserve">: for </w:t>
      </w:r>
      <w:proofErr w:type="gramStart"/>
      <w:r w:rsidR="00AF3709">
        <w:rPr>
          <w:lang w:val="en-US"/>
        </w:rPr>
        <w:t>example</w:t>
      </w:r>
      <w:proofErr w:type="gramEnd"/>
      <w:r w:rsidR="00AF3709">
        <w:rPr>
          <w:lang w:val="en-US"/>
        </w:rPr>
        <w:t xml:space="preserve"> 0.3. But the probability could be 0.25 or 0.4</w:t>
      </w:r>
    </w:p>
    <w:p w14:paraId="644989AC" w14:textId="5D976575" w:rsidR="00D36607" w:rsidRDefault="00AF3709" w:rsidP="00D36607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we use a probability distribution because this might be more appropriated!</w:t>
      </w:r>
    </w:p>
    <w:p w14:paraId="141C179E" w14:textId="523A3B84" w:rsidR="00AF3709" w:rsidRDefault="00AF3709" w:rsidP="00D36607">
      <w:pPr>
        <w:rPr>
          <w:lang w:val="en-US"/>
        </w:rPr>
      </w:pPr>
      <w:r>
        <w:rPr>
          <w:lang w:val="en-US"/>
        </w:rPr>
        <w:t xml:space="preserve">This distribution is known as the </w:t>
      </w:r>
      <w:r>
        <w:rPr>
          <w:b/>
          <w:bCs/>
          <w:lang w:val="en-US"/>
        </w:rPr>
        <w:t xml:space="preserve">prior distribution. </w:t>
      </w:r>
    </w:p>
    <w:p w14:paraId="02286A49" w14:textId="1306D8AB" w:rsidR="008207CB" w:rsidRDefault="00A923A0" w:rsidP="00D36607">
      <w:pPr>
        <w:rPr>
          <w:lang w:val="en-US"/>
        </w:rPr>
      </w:pPr>
      <w:r w:rsidRPr="00A923A0">
        <w:rPr>
          <w:lang w:val="en-US"/>
        </w:rPr>
        <w:sym w:font="Wingdings" w:char="F0E0"/>
      </w:r>
      <w:r>
        <w:rPr>
          <w:lang w:val="en-US"/>
        </w:rPr>
        <w:t xml:space="preserve"> Two plots: </w:t>
      </w:r>
      <w:r w:rsidR="008207CB">
        <w:rPr>
          <w:lang w:val="en-US"/>
        </w:rPr>
        <w:t>both peak at 0.3</w:t>
      </w:r>
    </w:p>
    <w:p w14:paraId="08B2CD8C" w14:textId="099EC85C" w:rsidR="008207CB" w:rsidRDefault="008207CB" w:rsidP="00D36607">
      <w:pPr>
        <w:rPr>
          <w:lang w:val="en-US"/>
        </w:rPr>
      </w:pPr>
      <w:r w:rsidRPr="008207CB">
        <w:rPr>
          <w:lang w:val="en-US"/>
        </w:rPr>
        <w:sym w:font="Wingdings" w:char="F0E0"/>
      </w:r>
      <w:r>
        <w:rPr>
          <w:lang w:val="en-US"/>
        </w:rPr>
        <w:t xml:space="preserve"> The higher the peak the more certain</w:t>
      </w:r>
    </w:p>
    <w:p w14:paraId="2B792DF7" w14:textId="62E52D94" w:rsidR="008207CB" w:rsidRDefault="008207CB" w:rsidP="00D36607">
      <w:pPr>
        <w:rPr>
          <w:lang w:val="en-US"/>
        </w:rPr>
      </w:pPr>
    </w:p>
    <w:p w14:paraId="6047EACC" w14:textId="77777777" w:rsidR="008207CB" w:rsidRPr="008207CB" w:rsidRDefault="008207CB" w:rsidP="008207CB">
      <w:pPr>
        <w:rPr>
          <w:lang w:val="en-US"/>
        </w:rPr>
      </w:pPr>
      <w:r w:rsidRPr="008207CB">
        <w:rPr>
          <w:lang w:val="en-US"/>
        </w:rPr>
        <w:t xml:space="preserve">Instead of event A, we’ll typically see </w:t>
      </w:r>
      <w:r w:rsidRPr="008207CB">
        <w:t>Θ</w:t>
      </w:r>
      <w:r w:rsidRPr="008207CB">
        <w:rPr>
          <w:lang w:val="en-US"/>
        </w:rPr>
        <w:t xml:space="preserve">, this symbol is called Theta. Theta is what we’re interested in, it represents the set of parameters. </w:t>
      </w:r>
      <w:proofErr w:type="gramStart"/>
      <w:r w:rsidRPr="008207CB">
        <w:rPr>
          <w:lang w:val="en-US"/>
        </w:rPr>
        <w:t>So</w:t>
      </w:r>
      <w:proofErr w:type="gramEnd"/>
      <w:r w:rsidRPr="008207CB">
        <w:rPr>
          <w:lang w:val="en-US"/>
        </w:rPr>
        <w:t xml:space="preserve"> if we’re trying to estimate the parameter values of a Gaussian distribution then </w:t>
      </w:r>
      <w:r w:rsidRPr="008207CB">
        <w:t>Θ</w:t>
      </w:r>
      <w:r w:rsidRPr="008207CB">
        <w:rPr>
          <w:lang w:val="en-US"/>
        </w:rPr>
        <w:t xml:space="preserve"> represents both the mean, </w:t>
      </w:r>
      <w:r w:rsidRPr="008207CB">
        <w:t>μ</w:t>
      </w:r>
      <w:r w:rsidRPr="008207CB">
        <w:rPr>
          <w:lang w:val="en-US"/>
        </w:rPr>
        <w:t xml:space="preserve"> and the standard deviation, </w:t>
      </w:r>
      <w:r w:rsidRPr="008207CB">
        <w:t>σ</w:t>
      </w:r>
      <w:r w:rsidRPr="008207CB">
        <w:rPr>
          <w:lang w:val="en-US"/>
        </w:rPr>
        <w:t xml:space="preserve"> (written mathematically as </w:t>
      </w:r>
      <w:r w:rsidRPr="008207CB">
        <w:t>Θ</w:t>
      </w:r>
      <w:r w:rsidRPr="008207CB">
        <w:rPr>
          <w:lang w:val="en-US"/>
        </w:rPr>
        <w:t xml:space="preserve"> = {</w:t>
      </w:r>
      <w:r w:rsidRPr="008207CB">
        <w:t>μ</w:t>
      </w:r>
      <w:r w:rsidRPr="008207CB">
        <w:rPr>
          <w:lang w:val="en-US"/>
        </w:rPr>
        <w:t xml:space="preserve">, </w:t>
      </w:r>
      <w:r w:rsidRPr="008207CB">
        <w:t>σ</w:t>
      </w:r>
      <w:r w:rsidRPr="008207CB">
        <w:rPr>
          <w:lang w:val="en-US"/>
        </w:rPr>
        <w:t>}).</w:t>
      </w:r>
    </w:p>
    <w:p w14:paraId="42078A6C" w14:textId="77777777" w:rsidR="008207CB" w:rsidRPr="008207CB" w:rsidRDefault="008207CB" w:rsidP="008207CB">
      <w:pPr>
        <w:rPr>
          <w:lang w:val="en-US"/>
        </w:rPr>
      </w:pPr>
      <w:r w:rsidRPr="008207CB">
        <w:rPr>
          <w:lang w:val="en-US"/>
        </w:rPr>
        <w:t>Instead of event B, we’ll see </w:t>
      </w:r>
      <w:r w:rsidRPr="008207CB">
        <w:rPr>
          <w:i/>
          <w:iCs/>
          <w:lang w:val="en-US"/>
        </w:rPr>
        <w:t>data </w:t>
      </w:r>
      <w:r w:rsidRPr="008207CB">
        <w:rPr>
          <w:lang w:val="en-US"/>
        </w:rPr>
        <w:t>or </w:t>
      </w:r>
      <w:r w:rsidRPr="008207CB">
        <w:rPr>
          <w:b/>
          <w:bCs/>
          <w:i/>
          <w:iCs/>
          <w:lang w:val="en-US"/>
        </w:rPr>
        <w:t>y = </w:t>
      </w:r>
      <w:r w:rsidRPr="008207CB">
        <w:rPr>
          <w:i/>
          <w:iCs/>
          <w:lang w:val="en-US"/>
        </w:rPr>
        <w:t xml:space="preserve">{y1, y2, …, </w:t>
      </w:r>
      <w:proofErr w:type="spellStart"/>
      <w:r w:rsidRPr="008207CB">
        <w:rPr>
          <w:i/>
          <w:iCs/>
          <w:lang w:val="en-US"/>
        </w:rPr>
        <w:t>yn</w:t>
      </w:r>
      <w:proofErr w:type="spellEnd"/>
      <w:r w:rsidRPr="008207CB">
        <w:rPr>
          <w:i/>
          <w:iCs/>
          <w:lang w:val="en-US"/>
        </w:rPr>
        <w:t>}. </w:t>
      </w:r>
      <w:r w:rsidRPr="008207CB">
        <w:rPr>
          <w:lang w:val="en-US"/>
        </w:rPr>
        <w:t xml:space="preserve">These represent the data, </w:t>
      </w:r>
      <w:proofErr w:type="gramStart"/>
      <w:r w:rsidRPr="008207CB">
        <w:rPr>
          <w:lang w:val="en-US"/>
        </w:rPr>
        <w:t>i.e.</w:t>
      </w:r>
      <w:proofErr w:type="gramEnd"/>
      <w:r w:rsidRPr="008207CB">
        <w:rPr>
          <w:lang w:val="en-US"/>
        </w:rPr>
        <w:t xml:space="preserve"> the set of observations that we have. I’ll explicitly use </w:t>
      </w:r>
      <w:r w:rsidRPr="008207CB">
        <w:rPr>
          <w:i/>
          <w:iCs/>
          <w:lang w:val="en-US"/>
        </w:rPr>
        <w:t>data </w:t>
      </w:r>
      <w:r w:rsidRPr="008207CB">
        <w:rPr>
          <w:lang w:val="en-US"/>
        </w:rPr>
        <w:t>in the equation to hopefully make the equation a little less cryptic.</w:t>
      </w:r>
    </w:p>
    <w:p w14:paraId="365623CE" w14:textId="77777777" w:rsidR="008207CB" w:rsidRPr="008207CB" w:rsidRDefault="008207CB" w:rsidP="008207CB">
      <w:pPr>
        <w:rPr>
          <w:lang w:val="en-US"/>
        </w:rPr>
      </w:pPr>
      <w:r w:rsidRPr="008207CB">
        <w:rPr>
          <w:lang w:val="en-US"/>
        </w:rPr>
        <w:t>So now Bayes’ theorem in model form is written as:</w:t>
      </w:r>
    </w:p>
    <w:p w14:paraId="21A8761F" w14:textId="0E0EE9EB" w:rsidR="008207CB" w:rsidRPr="008207CB" w:rsidRDefault="008207CB" w:rsidP="008207CB">
      <w:pPr>
        <w:rPr>
          <w:lang w:val="en-US"/>
        </w:rPr>
      </w:pPr>
    </w:p>
    <w:p w14:paraId="56C84665" w14:textId="6D308CD9" w:rsidR="008207CB" w:rsidRDefault="008207CB" w:rsidP="008207CB">
      <w:pPr>
        <w:rPr>
          <w:lang w:val="en-US"/>
        </w:rPr>
      </w:pPr>
      <w:r w:rsidRPr="008207CB">
        <w:fldChar w:fldCharType="begin"/>
      </w:r>
      <w:r w:rsidRPr="008207CB">
        <w:instrText xml:space="preserve"> INCLUDEPICTURE "https://miro.medium.com/max/1718/1*w24nX_4NgfY5wS1_maz0oQ.png" \* MERGEFORMATINET </w:instrText>
      </w:r>
      <w:r w:rsidRPr="008207CB">
        <w:fldChar w:fldCharType="separate"/>
      </w:r>
      <w:r w:rsidRPr="008207CB">
        <w:drawing>
          <wp:inline distT="0" distB="0" distL="0" distR="0" wp14:anchorId="15510560" wp14:editId="5F3EDE1E">
            <wp:extent cx="5760720" cy="1167130"/>
            <wp:effectExtent l="0" t="0" r="5080" b="1270"/>
            <wp:docPr id="1" name="Grafik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7CB">
        <w:rPr>
          <w:lang w:val="en-US"/>
        </w:rPr>
        <w:fldChar w:fldCharType="end"/>
      </w:r>
    </w:p>
    <w:p w14:paraId="7A984EAC" w14:textId="400F27C7" w:rsidR="008207CB" w:rsidRDefault="008207CB" w:rsidP="008207CB">
      <w:pPr>
        <w:rPr>
          <w:lang w:val="en-US"/>
        </w:rPr>
      </w:pPr>
    </w:p>
    <w:p w14:paraId="6A5018E1" w14:textId="77777777" w:rsidR="007D55C9" w:rsidRPr="007D55C9" w:rsidRDefault="007D55C9" w:rsidP="007D55C9">
      <w:pPr>
        <w:rPr>
          <w:lang w:val="en-US"/>
        </w:rPr>
      </w:pPr>
      <w:proofErr w:type="gramStart"/>
      <w:r w:rsidRPr="007D55C9">
        <w:rPr>
          <w:lang w:val="en-US"/>
        </w:rPr>
        <w:t>We‘</w:t>
      </w:r>
      <w:proofErr w:type="gramEnd"/>
      <w:r w:rsidRPr="007D55C9">
        <w:rPr>
          <w:lang w:val="en-US"/>
        </w:rPr>
        <w:t>ve seen that P(</w:t>
      </w:r>
      <w:r w:rsidRPr="007D55C9">
        <w:t>Θ</w:t>
      </w:r>
      <w:r w:rsidRPr="007D55C9">
        <w:rPr>
          <w:lang w:val="en-US"/>
        </w:rPr>
        <w:t>) is the prior distribution. It represents our beliefs about the true value of the parameters, just like we had distributions representing our belief about the probability of selling ice cream.</w:t>
      </w:r>
    </w:p>
    <w:p w14:paraId="1DD75AE3" w14:textId="77777777" w:rsidR="007D55C9" w:rsidRPr="007D55C9" w:rsidRDefault="007D55C9" w:rsidP="007D55C9">
      <w:pPr>
        <w:rPr>
          <w:lang w:val="en-US"/>
        </w:rPr>
      </w:pPr>
      <w:r w:rsidRPr="007D55C9">
        <w:rPr>
          <w:i/>
          <w:iCs/>
          <w:lang w:val="en-US"/>
        </w:rPr>
        <w:t>P(</w:t>
      </w:r>
      <w:r w:rsidRPr="007D55C9">
        <w:t>Θ</w:t>
      </w:r>
      <w:r w:rsidRPr="007D55C9">
        <w:rPr>
          <w:i/>
          <w:iCs/>
          <w:lang w:val="en-US"/>
        </w:rPr>
        <w:t>|data) </w:t>
      </w:r>
      <w:r w:rsidRPr="007D55C9">
        <w:rPr>
          <w:lang w:val="en-US"/>
        </w:rPr>
        <w:t xml:space="preserve">on the </w:t>
      </w:r>
      <w:proofErr w:type="gramStart"/>
      <w:r w:rsidRPr="007D55C9">
        <w:rPr>
          <w:lang w:val="en-US"/>
        </w:rPr>
        <w:t>left hand</w:t>
      </w:r>
      <w:proofErr w:type="gramEnd"/>
      <w:r w:rsidRPr="007D55C9">
        <w:rPr>
          <w:lang w:val="en-US"/>
        </w:rPr>
        <w:t xml:space="preserve"> side is known as the </w:t>
      </w:r>
      <w:r w:rsidRPr="007D55C9">
        <w:rPr>
          <w:b/>
          <w:bCs/>
          <w:lang w:val="en-US"/>
        </w:rPr>
        <w:t>posterior distribution. </w:t>
      </w:r>
      <w:r w:rsidRPr="007D55C9">
        <w:rPr>
          <w:lang w:val="en-US"/>
        </w:rPr>
        <w:t xml:space="preserve">This is the distribution representing our belief about the parameter values after we have calculated everything on the </w:t>
      </w:r>
      <w:proofErr w:type="gramStart"/>
      <w:r w:rsidRPr="007D55C9">
        <w:rPr>
          <w:lang w:val="en-US"/>
        </w:rPr>
        <w:t>right hand</w:t>
      </w:r>
      <w:proofErr w:type="gramEnd"/>
      <w:r w:rsidRPr="007D55C9">
        <w:rPr>
          <w:lang w:val="en-US"/>
        </w:rPr>
        <w:t xml:space="preserve"> side taking the observed data into account.</w:t>
      </w:r>
    </w:p>
    <w:p w14:paraId="69C68690" w14:textId="77777777" w:rsidR="007D55C9" w:rsidRPr="007D55C9" w:rsidRDefault="007D55C9" w:rsidP="007D55C9">
      <w:pPr>
        <w:rPr>
          <w:lang w:val="en-US"/>
        </w:rPr>
      </w:pPr>
      <w:proofErr w:type="gramStart"/>
      <w:r w:rsidRPr="007D55C9">
        <w:rPr>
          <w:i/>
          <w:iCs/>
          <w:lang w:val="en-US"/>
        </w:rPr>
        <w:t>P(</w:t>
      </w:r>
      <w:proofErr w:type="gramEnd"/>
      <w:r w:rsidRPr="007D55C9">
        <w:rPr>
          <w:i/>
          <w:iCs/>
          <w:lang w:val="en-US"/>
        </w:rPr>
        <w:t>data| </w:t>
      </w:r>
      <w:r w:rsidRPr="007D55C9">
        <w:t>Θ</w:t>
      </w:r>
      <w:r w:rsidRPr="007D55C9">
        <w:rPr>
          <w:i/>
          <w:iCs/>
          <w:lang w:val="en-US"/>
        </w:rPr>
        <w:t>) </w:t>
      </w:r>
      <w:r w:rsidRPr="007D55C9">
        <w:rPr>
          <w:lang w:val="en-US"/>
        </w:rPr>
        <w:t>is something we’ve come across before. If you made it to the end of my previous post on maximum likelihood then you’ll remember that we said </w:t>
      </w:r>
      <w:proofErr w:type="gramStart"/>
      <w:r w:rsidRPr="007D55C9">
        <w:rPr>
          <w:i/>
          <w:iCs/>
          <w:lang w:val="en-US"/>
        </w:rPr>
        <w:t>L(</w:t>
      </w:r>
      <w:proofErr w:type="gramEnd"/>
      <w:r w:rsidRPr="007D55C9">
        <w:rPr>
          <w:i/>
          <w:iCs/>
          <w:lang w:val="en-US"/>
        </w:rPr>
        <w:t xml:space="preserve">data; </w:t>
      </w:r>
      <w:r w:rsidRPr="007D55C9">
        <w:rPr>
          <w:i/>
          <w:iCs/>
        </w:rPr>
        <w:t>μ</w:t>
      </w:r>
      <w:r w:rsidRPr="007D55C9">
        <w:rPr>
          <w:i/>
          <w:iCs/>
          <w:lang w:val="en-US"/>
        </w:rPr>
        <w:t xml:space="preserve">, </w:t>
      </w:r>
      <w:r w:rsidRPr="007D55C9">
        <w:rPr>
          <w:i/>
          <w:iCs/>
        </w:rPr>
        <w:t>σ</w:t>
      </w:r>
      <w:r w:rsidRPr="007D55C9">
        <w:rPr>
          <w:i/>
          <w:iCs/>
          <w:lang w:val="en-US"/>
        </w:rPr>
        <w:t>) </w:t>
      </w:r>
      <w:r w:rsidRPr="007D55C9">
        <w:rPr>
          <w:lang w:val="en-US"/>
        </w:rPr>
        <w:t>is the likelihood distribution (for a Gaussian distribution). Well </w:t>
      </w:r>
      <w:proofErr w:type="gramStart"/>
      <w:r w:rsidRPr="007D55C9">
        <w:rPr>
          <w:i/>
          <w:iCs/>
          <w:lang w:val="en-US"/>
        </w:rPr>
        <w:t>P(</w:t>
      </w:r>
      <w:proofErr w:type="gramEnd"/>
      <w:r w:rsidRPr="007D55C9">
        <w:rPr>
          <w:i/>
          <w:iCs/>
          <w:lang w:val="en-US"/>
        </w:rPr>
        <w:t>data| </w:t>
      </w:r>
      <w:r w:rsidRPr="007D55C9">
        <w:t>Θ</w:t>
      </w:r>
      <w:r w:rsidRPr="007D55C9">
        <w:rPr>
          <w:i/>
          <w:iCs/>
          <w:lang w:val="en-US"/>
        </w:rPr>
        <w:t>) </w:t>
      </w:r>
      <w:r w:rsidRPr="007D55C9">
        <w:rPr>
          <w:lang w:val="en-US"/>
        </w:rPr>
        <w:t>is exactly this, it’s the </w:t>
      </w:r>
      <w:r w:rsidRPr="007D55C9">
        <w:rPr>
          <w:b/>
          <w:bCs/>
          <w:lang w:val="en-US"/>
        </w:rPr>
        <w:t>likelihood distribution</w:t>
      </w:r>
      <w:r w:rsidRPr="007D55C9">
        <w:rPr>
          <w:lang w:val="en-US"/>
        </w:rPr>
        <w:t xml:space="preserve"> in disguise. Sometimes it’s written as </w:t>
      </w:r>
      <w:proofErr w:type="gramStart"/>
      <w:r w:rsidRPr="007D55C9">
        <w:rPr>
          <w:rFonts w:ascii="Cambria Math" w:hAnsi="Cambria Math" w:cs="Cambria Math"/>
          <w:lang w:val="en-US"/>
        </w:rPr>
        <w:t>ℒ</w:t>
      </w:r>
      <w:r w:rsidRPr="007D55C9">
        <w:rPr>
          <w:i/>
          <w:iCs/>
          <w:lang w:val="en-US"/>
        </w:rPr>
        <w:t>(</w:t>
      </w:r>
      <w:proofErr w:type="gramEnd"/>
      <w:r w:rsidRPr="007D55C9">
        <w:t>Θ</w:t>
      </w:r>
      <w:r w:rsidRPr="007D55C9">
        <w:rPr>
          <w:lang w:val="en-US"/>
        </w:rPr>
        <w:t>; </w:t>
      </w:r>
      <w:r w:rsidRPr="007D55C9">
        <w:rPr>
          <w:i/>
          <w:iCs/>
          <w:lang w:val="en-US"/>
        </w:rPr>
        <w:t>data)</w:t>
      </w:r>
      <w:r w:rsidRPr="007D55C9">
        <w:rPr>
          <w:lang w:val="en-US"/>
        </w:rPr>
        <w:t> but it’s the same thing here</w:t>
      </w:r>
      <w:r w:rsidRPr="007D55C9">
        <w:rPr>
          <w:b/>
          <w:bCs/>
          <w:lang w:val="en-US"/>
        </w:rPr>
        <w:t>.</w:t>
      </w:r>
    </w:p>
    <w:p w14:paraId="2075CA8C" w14:textId="3AFEF31C" w:rsidR="008207CB" w:rsidRDefault="008207CB" w:rsidP="008207CB">
      <w:pPr>
        <w:rPr>
          <w:lang w:val="en-US"/>
        </w:rPr>
      </w:pPr>
    </w:p>
    <w:p w14:paraId="1C10AF78" w14:textId="77777777" w:rsidR="00443C4E" w:rsidRDefault="00443C4E" w:rsidP="008207CB">
      <w:pPr>
        <w:rPr>
          <w:lang w:val="en-US"/>
        </w:rPr>
      </w:pPr>
    </w:p>
    <w:p w14:paraId="6E9B1CC9" w14:textId="77777777" w:rsidR="00443C4E" w:rsidRDefault="00443C4E" w:rsidP="008207CB">
      <w:pPr>
        <w:rPr>
          <w:lang w:val="en-US"/>
        </w:rPr>
      </w:pPr>
    </w:p>
    <w:p w14:paraId="1EB2082F" w14:textId="77777777" w:rsidR="00443C4E" w:rsidRDefault="00443C4E" w:rsidP="008207CB">
      <w:pPr>
        <w:rPr>
          <w:lang w:val="en-US"/>
        </w:rPr>
      </w:pPr>
    </w:p>
    <w:p w14:paraId="64C737A3" w14:textId="77777777" w:rsidR="00443C4E" w:rsidRDefault="00443C4E" w:rsidP="008207CB">
      <w:pPr>
        <w:rPr>
          <w:lang w:val="en-US"/>
        </w:rPr>
      </w:pPr>
    </w:p>
    <w:p w14:paraId="5B1BD471" w14:textId="77777777" w:rsidR="00443C4E" w:rsidRDefault="00443C4E" w:rsidP="008207CB">
      <w:pPr>
        <w:rPr>
          <w:lang w:val="en-US"/>
        </w:rPr>
      </w:pPr>
    </w:p>
    <w:p w14:paraId="61C146CC" w14:textId="0AC24D4A" w:rsidR="00443C4E" w:rsidRDefault="00443C4E" w:rsidP="008207CB">
      <w:pPr>
        <w:rPr>
          <w:lang w:val="en-US"/>
        </w:rPr>
      </w:pPr>
      <w:proofErr w:type="spellStart"/>
      <w:r>
        <w:rPr>
          <w:lang w:val="en-US"/>
        </w:rPr>
        <w:lastRenderedPageBreak/>
        <w:t>Grundsätzliche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Schreibweise</w:t>
      </w:r>
      <w:proofErr w:type="spellEnd"/>
      <w:r>
        <w:rPr>
          <w:lang w:val="en-US"/>
        </w:rPr>
        <w:t>:</w:t>
      </w:r>
    </w:p>
    <w:p w14:paraId="01D5C9D3" w14:textId="21DE01EF" w:rsidR="00443C4E" w:rsidRPr="008207CB" w:rsidRDefault="00443C4E" w:rsidP="008207CB">
      <w:pPr>
        <w:rPr>
          <w:lang w:val="en-US"/>
        </w:rPr>
      </w:pPr>
      <w:r w:rsidRPr="00443C4E">
        <w:rPr>
          <w:lang w:val="en-US"/>
        </w:rPr>
        <w:drawing>
          <wp:inline distT="0" distB="0" distL="0" distR="0" wp14:anchorId="5CFCE4E5" wp14:editId="5733480A">
            <wp:extent cx="3725333" cy="80458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018" cy="8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603C" w14:textId="55B1D49B" w:rsidR="008207CB" w:rsidRDefault="008207CB" w:rsidP="00D36607">
      <w:pPr>
        <w:rPr>
          <w:lang w:val="en-US"/>
        </w:rPr>
      </w:pPr>
    </w:p>
    <w:p w14:paraId="22362B2E" w14:textId="334E8A5D" w:rsidR="00443C4E" w:rsidRDefault="00443C4E" w:rsidP="00D36607">
      <w:r w:rsidRPr="00443C4E">
        <w:t>Da P(X) keine Datenabhängigkeit beinhaltet</w:t>
      </w:r>
      <w:r>
        <w:t xml:space="preserve">, ist die Form der </w:t>
      </w:r>
      <w:proofErr w:type="spellStart"/>
      <w:r>
        <w:t>Posterior</w:t>
      </w:r>
      <w:proofErr w:type="spellEnd"/>
      <w:r>
        <w:t xml:space="preserve">-Verteilung nur vom Zähler von </w:t>
      </w:r>
      <w:proofErr w:type="spellStart"/>
      <w:r>
        <w:t>Bayes</w:t>
      </w:r>
      <w:proofErr w:type="spellEnd"/>
      <w:r>
        <w:t xml:space="preserve"> abhängig. </w:t>
      </w:r>
      <w:r w:rsidR="00C74F18">
        <w:sym w:font="Wingdings" w:char="F0E0"/>
      </w:r>
      <w:r w:rsidR="00C74F18">
        <w:t xml:space="preserve"> </w:t>
      </w:r>
      <w:proofErr w:type="spellStart"/>
      <w:r w:rsidR="00C74F18">
        <w:t>Likelihood</w:t>
      </w:r>
      <w:proofErr w:type="spellEnd"/>
      <w:r w:rsidR="00C74F18">
        <w:t xml:space="preserve"> &amp; Prior</w:t>
      </w:r>
    </w:p>
    <w:p w14:paraId="671EE4BB" w14:textId="2739B6B2" w:rsidR="00C74F18" w:rsidRDefault="00C74F18" w:rsidP="00D36607"/>
    <w:p w14:paraId="6C229F8E" w14:textId="27BDBC0E" w:rsidR="00C74F18" w:rsidRDefault="00C74F18" w:rsidP="00D36607">
      <w:pPr>
        <w:rPr>
          <w:lang w:val="en-US"/>
        </w:rPr>
      </w:pPr>
      <w:proofErr w:type="spellStart"/>
      <w:r w:rsidRPr="00C74F18">
        <w:rPr>
          <w:lang w:val="en-US"/>
        </w:rPr>
        <w:t>Posteroir</w:t>
      </w:r>
      <w:proofErr w:type="spellEnd"/>
      <w:r w:rsidRPr="00C74F18">
        <w:rPr>
          <w:lang w:val="en-US"/>
        </w:rPr>
        <w:t xml:space="preserve"> Peak between Lik</w:t>
      </w:r>
      <w:r>
        <w:rPr>
          <w:lang w:val="en-US"/>
        </w:rPr>
        <w:t>e</w:t>
      </w:r>
      <w:r w:rsidRPr="00C74F18">
        <w:rPr>
          <w:lang w:val="en-US"/>
        </w:rPr>
        <w:t>lihood Peak and Prior Peak</w:t>
      </w:r>
      <w:r>
        <w:rPr>
          <w:lang w:val="en-US"/>
        </w:rPr>
        <w:t>.</w:t>
      </w:r>
    </w:p>
    <w:p w14:paraId="34E42DB1" w14:textId="35861128" w:rsidR="00C74F18" w:rsidRPr="00C74F18" w:rsidRDefault="00C74F18" w:rsidP="00D36607">
      <w:proofErr w:type="spellStart"/>
      <w:r w:rsidRPr="00C74F18">
        <w:t>Amount</w:t>
      </w:r>
      <w:proofErr w:type="spellEnd"/>
      <w:r w:rsidRPr="00C74F18">
        <w:t xml:space="preserve"> </w:t>
      </w:r>
      <w:proofErr w:type="spellStart"/>
      <w:r w:rsidRPr="00C74F18">
        <w:t>of</w:t>
      </w:r>
      <w:proofErr w:type="spellEnd"/>
      <w:r w:rsidRPr="00C74F18">
        <w:t xml:space="preserve"> Data (x wird größer) wird grö</w:t>
      </w:r>
      <w:r>
        <w:t xml:space="preserve">ßer, dann wird </w:t>
      </w:r>
      <w:proofErr w:type="spellStart"/>
      <w:r>
        <w:t>Likelihood</w:t>
      </w:r>
      <w:proofErr w:type="spellEnd"/>
      <w:r>
        <w:t xml:space="preserve"> kleiner P(X|Teta)</w:t>
      </w:r>
    </w:p>
    <w:sectPr w:rsidR="00C74F18" w:rsidRPr="00C74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07"/>
    <w:rsid w:val="00443C4E"/>
    <w:rsid w:val="007D55C9"/>
    <w:rsid w:val="008207CB"/>
    <w:rsid w:val="00A3528A"/>
    <w:rsid w:val="00A923A0"/>
    <w:rsid w:val="00AF3709"/>
    <w:rsid w:val="00C74F18"/>
    <w:rsid w:val="00D3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13FB0"/>
  <w15:chartTrackingRefBased/>
  <w15:docId w15:val="{0574DE73-8D7D-0E43-8A3A-D5C59E3C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66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66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73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Stäbler</dc:creator>
  <cp:keywords/>
  <dc:description/>
  <cp:lastModifiedBy>Maximilian Stäbler</cp:lastModifiedBy>
  <cp:revision>2</cp:revision>
  <dcterms:created xsi:type="dcterms:W3CDTF">2020-12-04T09:45:00Z</dcterms:created>
  <dcterms:modified xsi:type="dcterms:W3CDTF">2020-12-04T15:53:00Z</dcterms:modified>
</cp:coreProperties>
</file>