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Modelo de Dominio y Navegación de Ventanas</w:t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Clases</w:t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343012" cy="254989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012" cy="2549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Ventanas y navegación</w:t>
      </w:r>
    </w:p>
    <w:p w:rsidR="00000000" w:rsidDel="00000000" w:rsidP="00000000" w:rsidRDefault="00000000" w:rsidRPr="00000000" w14:paraId="00000014">
      <w:pPr>
        <w:spacing w:after="150" w:lineRule="auto"/>
        <w:rPr/>
      </w:pPr>
      <w:r w:rsidDel="00000000" w:rsidR="00000000" w:rsidRPr="00000000">
        <w:rPr>
          <w:rtl w:val="0"/>
        </w:rPr>
        <w:t xml:space="preserve">FormPrincipal es la pantalla de inicio, con acceso a Artículos, Marcas y Categorías. Desde ahí se abre FormListadoArticulos, que muestra la grilla completa con filtro y los botones de Agregar, Modificar, Eliminar y Detalle.</w:t>
      </w:r>
    </w:p>
    <w:p w:rsidR="00000000" w:rsidDel="00000000" w:rsidP="00000000" w:rsidRDefault="00000000" w:rsidRPr="00000000" w14:paraId="00000015">
      <w:pPr>
        <w:spacing w:after="150" w:lineRule="auto"/>
        <w:rPr/>
      </w:pPr>
      <w:r w:rsidDel="00000000" w:rsidR="00000000" w:rsidRPr="00000000">
        <w:rPr>
          <w:rtl w:val="0"/>
        </w:rPr>
        <w:t xml:space="preserve">Agregar, Modificar y Detalle usan la misma ventana (la llamamos FormAMD), no hicimos una para cada acción. La diferencia está en cómo la abrimos: vacía para agregar, con un artículo cargado para modificar, y con ese mismo artículo pero bloqueada para ver el detalle. Eliminar no abre ventana, se hace directo desde la grilla seleccionando la fila y confirmando con un mensaje antes de borrar. La ventana FormAMD se reutiliza 3 veces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Marca y Categoría funcionan igual entre sí: cada una tiene su listado (FormListadoMarcas y FormListadoCategorias) y comparten el mismo FormAMD para dar de alta, modificar o ver el detalle de una marca o categoría.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6801449" cy="45902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1449" cy="459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9APaz2uqZlPnLDWsLFNYfJOBAA==">CgMxLjA4AHIhMXJpT01uSzNKNWd3MHl0OEhmMVpoZE9zSmdGVUVIa2Qz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2026-09-09T18:45:24.501Z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