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1CCC9A1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1B9440B1" w14:textId="4080888D" w:rsidR="00021D85" w:rsidRDefault="00021D85" w:rsidP="00021D85"/>
    <w:p w14:paraId="218294E7" w14:textId="04C6B5D1" w:rsidR="00021D85" w:rsidRDefault="00021D85" w:rsidP="00021D85"/>
    <w:p w14:paraId="29972A27" w14:textId="605E767C" w:rsidR="00021D85" w:rsidRDefault="00021D85" w:rsidP="00021D85">
      <w:pPr>
        <w:tabs>
          <w:tab w:val="left" w:pos="6780"/>
        </w:tabs>
      </w:pPr>
      <w:r>
        <w:tab/>
      </w:r>
    </w:p>
    <w:p w14:paraId="2738D18B" w14:textId="204CE1AD" w:rsidR="00021D85" w:rsidRDefault="00021D85" w:rsidP="00021D85"/>
    <w:p w14:paraId="49CB7DE3" w14:textId="5F5D6421" w:rsidR="00021D85" w:rsidRDefault="00021D85" w:rsidP="00021D85"/>
    <w:p w14:paraId="1EA956BE" w14:textId="3D6ED9E7" w:rsidR="00021D85" w:rsidRDefault="00021D85" w:rsidP="00021D85"/>
    <w:p w14:paraId="6171725D" w14:textId="48231331" w:rsidR="00021D85" w:rsidRDefault="00021D85" w:rsidP="00021D85"/>
    <w:p w14:paraId="583D5497" w14:textId="538A4DF4" w:rsidR="00021D85" w:rsidRDefault="00021D85" w:rsidP="00021D85"/>
    <w:p w14:paraId="43E319E5" w14:textId="195D7DA0" w:rsidR="00021D85" w:rsidRDefault="00021D85" w:rsidP="00021D85"/>
    <w:p w14:paraId="7A653563" w14:textId="4B2A20E3" w:rsidR="00021D85" w:rsidRDefault="00021D85" w:rsidP="00021D85"/>
    <w:p w14:paraId="17BE16F2" w14:textId="77777777" w:rsidR="00021D85" w:rsidRDefault="00021D85" w:rsidP="00021D85"/>
    <w:p w14:paraId="7282FEAE" w14:textId="4A5E47F1" w:rsidR="00021D85" w:rsidRDefault="00021D85" w:rsidP="00021D85"/>
    <w:p w14:paraId="26713EF7" w14:textId="79BF05B3" w:rsidR="00021D85" w:rsidRDefault="00021D85" w:rsidP="00021D85"/>
    <w:p w14:paraId="444F15B7" w14:textId="77777777" w:rsidR="00B34A61" w:rsidRPr="00021D85" w:rsidRDefault="00B34A61" w:rsidP="00815104"/>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55CDF58B" w:rsidR="00021D85" w:rsidRPr="001D77B1" w:rsidRDefault="00366727" w:rsidP="00021D85">
      <w:pPr>
        <w:pStyle w:val="Ttulo"/>
      </w:pPr>
      <w:r>
        <w:t xml:space="preserve">Desarrollo </w:t>
      </w:r>
      <w:proofErr w:type="spellStart"/>
      <w:r>
        <w:t>Backend</w:t>
      </w:r>
      <w:proofErr w:type="spellEnd"/>
      <w:r>
        <w:t xml:space="preserve"> II</w:t>
      </w:r>
      <w:r w:rsidR="008906BF">
        <w:t>I</w:t>
      </w:r>
    </w:p>
    <w:p w14:paraId="23555CF9" w14:textId="48F004CF" w:rsidR="00B34A61" w:rsidRDefault="00366727" w:rsidP="00B34A61">
      <w:pPr>
        <w:pStyle w:val="Bajada-portada"/>
      </w:pPr>
      <w:r>
        <w:t>Evaluación Final Transversal - Informe</w:t>
      </w:r>
    </w:p>
    <w:p w14:paraId="3317F749" w14:textId="78167989" w:rsidR="009D2AF3" w:rsidRDefault="009D2AF3" w:rsidP="00815104"/>
    <w:p w14:paraId="1675C473" w14:textId="433795BF" w:rsidR="00366727" w:rsidRPr="009D2AF3" w:rsidRDefault="00366727" w:rsidP="00815104">
      <w:r>
        <w:t xml:space="preserve">Alumno: Sebastián Figueroa </w:t>
      </w:r>
      <w:proofErr w:type="spellStart"/>
      <w:r>
        <w:t>Zanoni</w:t>
      </w:r>
      <w:proofErr w:type="spellEnd"/>
    </w:p>
    <w:p w14:paraId="78B25D0E" w14:textId="0084C559" w:rsidR="00625D00" w:rsidRPr="000447F4" w:rsidRDefault="00625D00" w:rsidP="000447F4">
      <w:pPr>
        <w:spacing w:after="160"/>
        <w:rPr>
          <w:kern w:val="0"/>
          <w:sz w:val="44"/>
          <w:u w:val="single"/>
          <w14:ligatures w14:val="none"/>
        </w:rPr>
      </w:pPr>
    </w:p>
    <w:p w14:paraId="23F88F45" w14:textId="77777777" w:rsidR="000447F4" w:rsidRPr="009D2AF3" w:rsidRDefault="00625D00">
      <w:pPr>
        <w:spacing w:after="160"/>
        <w:ind w:left="459"/>
        <w:rPr>
          <w:noProof/>
          <w:u w:val="single"/>
        </w:rPr>
      </w:pPr>
      <w:r>
        <w:rPr>
          <w:noProof/>
        </w:rPr>
        <w:br w:type="page"/>
      </w:r>
    </w:p>
    <w:sdt>
      <w:sdtPr>
        <w:rPr>
          <w:rFonts w:ascii="Arial" w:eastAsiaTheme="minorHAnsi" w:hAnsi="Arial" w:cstheme="minorBidi"/>
          <w:color w:val="404040" w:themeColor="text1" w:themeTint="BF"/>
          <w:kern w:val="2"/>
          <w:sz w:val="24"/>
          <w:szCs w:val="22"/>
          <w:lang w:val="es-ES" w:eastAsia="en-US"/>
          <w14:ligatures w14:val="standardContextual"/>
        </w:rPr>
        <w:id w:val="-902519831"/>
        <w:docPartObj>
          <w:docPartGallery w:val="Table of Contents"/>
          <w:docPartUnique/>
        </w:docPartObj>
      </w:sdtPr>
      <w:sdtEndPr>
        <w:rPr>
          <w:b/>
          <w:bCs/>
        </w:rPr>
      </w:sdtEndPr>
      <w:sdtContent>
        <w:p w14:paraId="119CFE85" w14:textId="38DBD8D9" w:rsidR="000447F4" w:rsidRDefault="000447F4">
          <w:pPr>
            <w:pStyle w:val="TtuloTDC"/>
          </w:pPr>
          <w:r>
            <w:rPr>
              <w:lang w:val="es-ES"/>
            </w:rPr>
            <w:t>Contenido</w:t>
          </w:r>
        </w:p>
        <w:p w14:paraId="54173580" w14:textId="0E695C7A" w:rsidR="00635F52" w:rsidRDefault="000447F4">
          <w:pPr>
            <w:pStyle w:val="TDC1"/>
            <w:tabs>
              <w:tab w:val="right" w:leader="dot" w:pos="9913"/>
            </w:tabs>
            <w:rPr>
              <w:rFonts w:asciiTheme="minorHAnsi" w:eastAsiaTheme="minorEastAsia" w:hAnsiTheme="minorHAnsi"/>
              <w:color w:val="auto"/>
              <w:szCs w:val="24"/>
              <w:lang w:eastAsia="es-CL"/>
            </w:rPr>
          </w:pPr>
          <w:r>
            <w:fldChar w:fldCharType="begin"/>
          </w:r>
          <w:r>
            <w:instrText xml:space="preserve"> TOC \o "1-3" \h \z \u </w:instrText>
          </w:r>
          <w:r>
            <w:fldChar w:fldCharType="separate"/>
          </w:r>
          <w:hyperlink w:anchor="_Toc242392710" w:history="1">
            <w:r w:rsidR="00635F52" w:rsidRPr="00917D50">
              <w:rPr>
                <w:rStyle w:val="Hipervnculo"/>
              </w:rPr>
              <w:t>Introducción</w:t>
            </w:r>
            <w:r w:rsidR="00635F52">
              <w:rPr>
                <w:webHidden/>
              </w:rPr>
              <w:tab/>
            </w:r>
            <w:r w:rsidR="00635F52">
              <w:rPr>
                <w:webHidden/>
              </w:rPr>
              <w:fldChar w:fldCharType="begin"/>
            </w:r>
            <w:r w:rsidR="00635F52">
              <w:rPr>
                <w:webHidden/>
              </w:rPr>
              <w:instrText xml:space="preserve"> PAGEREF _Toc242392710 \h </w:instrText>
            </w:r>
            <w:r w:rsidR="00635F52">
              <w:rPr>
                <w:webHidden/>
              </w:rPr>
            </w:r>
            <w:r w:rsidR="00635F52">
              <w:rPr>
                <w:webHidden/>
              </w:rPr>
              <w:fldChar w:fldCharType="separate"/>
            </w:r>
            <w:r w:rsidR="00635F52">
              <w:rPr>
                <w:webHidden/>
              </w:rPr>
              <w:t>3</w:t>
            </w:r>
            <w:r w:rsidR="00635F52">
              <w:rPr>
                <w:webHidden/>
              </w:rPr>
              <w:fldChar w:fldCharType="end"/>
            </w:r>
          </w:hyperlink>
        </w:p>
        <w:p w14:paraId="196C5E19" w14:textId="4BA476AB" w:rsidR="00635F52" w:rsidRDefault="00635F52">
          <w:pPr>
            <w:pStyle w:val="TDC1"/>
            <w:tabs>
              <w:tab w:val="right" w:leader="dot" w:pos="9913"/>
            </w:tabs>
            <w:rPr>
              <w:rFonts w:asciiTheme="minorHAnsi" w:eastAsiaTheme="minorEastAsia" w:hAnsiTheme="minorHAnsi"/>
              <w:color w:val="auto"/>
              <w:szCs w:val="24"/>
              <w:lang w:eastAsia="es-CL"/>
            </w:rPr>
          </w:pPr>
          <w:hyperlink w:anchor="_Toc242392711" w:history="1">
            <w:r w:rsidRPr="00917D50">
              <w:rPr>
                <w:rStyle w:val="Hipervnculo"/>
              </w:rPr>
              <w:t>Identificación de procesos clave de migración</w:t>
            </w:r>
            <w:r>
              <w:rPr>
                <w:webHidden/>
              </w:rPr>
              <w:tab/>
            </w:r>
            <w:r>
              <w:rPr>
                <w:webHidden/>
              </w:rPr>
              <w:fldChar w:fldCharType="begin"/>
            </w:r>
            <w:r>
              <w:rPr>
                <w:webHidden/>
              </w:rPr>
              <w:instrText xml:space="preserve"> PAGEREF _Toc242392711 \h </w:instrText>
            </w:r>
            <w:r>
              <w:rPr>
                <w:webHidden/>
              </w:rPr>
            </w:r>
            <w:r>
              <w:rPr>
                <w:webHidden/>
              </w:rPr>
              <w:fldChar w:fldCharType="separate"/>
            </w:r>
            <w:r>
              <w:rPr>
                <w:webHidden/>
              </w:rPr>
              <w:t>4</w:t>
            </w:r>
            <w:r>
              <w:rPr>
                <w:webHidden/>
              </w:rPr>
              <w:fldChar w:fldCharType="end"/>
            </w:r>
          </w:hyperlink>
        </w:p>
        <w:p w14:paraId="6D629C74" w14:textId="0A7F6617" w:rsidR="00635F52" w:rsidRDefault="00635F52">
          <w:pPr>
            <w:pStyle w:val="TDC1"/>
            <w:tabs>
              <w:tab w:val="right" w:leader="dot" w:pos="9913"/>
            </w:tabs>
            <w:rPr>
              <w:rFonts w:asciiTheme="minorHAnsi" w:eastAsiaTheme="minorEastAsia" w:hAnsiTheme="minorHAnsi"/>
              <w:color w:val="auto"/>
              <w:szCs w:val="24"/>
              <w:lang w:eastAsia="es-CL"/>
            </w:rPr>
          </w:pPr>
          <w:hyperlink w:anchor="_Toc242392712" w:history="1">
            <w:r w:rsidRPr="00917D50">
              <w:rPr>
                <w:rStyle w:val="Hipervnculo"/>
              </w:rPr>
              <w:t>Propuesta de arquitectura</w:t>
            </w:r>
            <w:r>
              <w:rPr>
                <w:webHidden/>
              </w:rPr>
              <w:tab/>
            </w:r>
            <w:r>
              <w:rPr>
                <w:webHidden/>
              </w:rPr>
              <w:fldChar w:fldCharType="begin"/>
            </w:r>
            <w:r>
              <w:rPr>
                <w:webHidden/>
              </w:rPr>
              <w:instrText xml:space="preserve"> PAGEREF _Toc242392712 \h </w:instrText>
            </w:r>
            <w:r>
              <w:rPr>
                <w:webHidden/>
              </w:rPr>
            </w:r>
            <w:r>
              <w:rPr>
                <w:webHidden/>
              </w:rPr>
              <w:fldChar w:fldCharType="separate"/>
            </w:r>
            <w:r>
              <w:rPr>
                <w:webHidden/>
              </w:rPr>
              <w:t>6</w:t>
            </w:r>
            <w:r>
              <w:rPr>
                <w:webHidden/>
              </w:rPr>
              <w:fldChar w:fldCharType="end"/>
            </w:r>
          </w:hyperlink>
        </w:p>
        <w:p w14:paraId="7B18F0E5" w14:textId="3C953BC6" w:rsidR="00635F52" w:rsidRDefault="00635F52">
          <w:pPr>
            <w:pStyle w:val="TDC1"/>
            <w:tabs>
              <w:tab w:val="right" w:leader="dot" w:pos="9913"/>
            </w:tabs>
            <w:rPr>
              <w:rFonts w:asciiTheme="minorHAnsi" w:eastAsiaTheme="minorEastAsia" w:hAnsiTheme="minorHAnsi"/>
              <w:color w:val="auto"/>
              <w:szCs w:val="24"/>
              <w:lang w:eastAsia="es-CL"/>
            </w:rPr>
          </w:pPr>
          <w:hyperlink w:anchor="_Toc242392713" w:history="1">
            <w:r w:rsidRPr="00917D50">
              <w:rPr>
                <w:rStyle w:val="Hipervnculo"/>
              </w:rPr>
              <w:t>Detalle de implementación por módulos</w:t>
            </w:r>
            <w:r>
              <w:rPr>
                <w:webHidden/>
              </w:rPr>
              <w:tab/>
            </w:r>
            <w:r>
              <w:rPr>
                <w:webHidden/>
              </w:rPr>
              <w:fldChar w:fldCharType="begin"/>
            </w:r>
            <w:r>
              <w:rPr>
                <w:webHidden/>
              </w:rPr>
              <w:instrText xml:space="preserve"> PAGEREF _Toc242392713 \h </w:instrText>
            </w:r>
            <w:r>
              <w:rPr>
                <w:webHidden/>
              </w:rPr>
            </w:r>
            <w:r>
              <w:rPr>
                <w:webHidden/>
              </w:rPr>
              <w:fldChar w:fldCharType="separate"/>
            </w:r>
            <w:r>
              <w:rPr>
                <w:webHidden/>
              </w:rPr>
              <w:t>7</w:t>
            </w:r>
            <w:r>
              <w:rPr>
                <w:webHidden/>
              </w:rPr>
              <w:fldChar w:fldCharType="end"/>
            </w:r>
          </w:hyperlink>
        </w:p>
        <w:p w14:paraId="06DE6A9F" w14:textId="0CBBB3BE" w:rsidR="00635F52" w:rsidRDefault="00635F52">
          <w:pPr>
            <w:pStyle w:val="TDC1"/>
            <w:tabs>
              <w:tab w:val="right" w:leader="dot" w:pos="9913"/>
            </w:tabs>
            <w:rPr>
              <w:rFonts w:asciiTheme="minorHAnsi" w:eastAsiaTheme="minorEastAsia" w:hAnsiTheme="minorHAnsi"/>
              <w:color w:val="auto"/>
              <w:szCs w:val="24"/>
              <w:lang w:eastAsia="es-CL"/>
            </w:rPr>
          </w:pPr>
          <w:hyperlink w:anchor="_Toc242392714" w:history="1">
            <w:r w:rsidRPr="00917D50">
              <w:rPr>
                <w:rStyle w:val="Hipervnculo"/>
              </w:rPr>
              <w:t>Conclusión</w:t>
            </w:r>
            <w:r>
              <w:rPr>
                <w:webHidden/>
              </w:rPr>
              <w:tab/>
            </w:r>
            <w:r>
              <w:rPr>
                <w:webHidden/>
              </w:rPr>
              <w:fldChar w:fldCharType="begin"/>
            </w:r>
            <w:r>
              <w:rPr>
                <w:webHidden/>
              </w:rPr>
              <w:instrText xml:space="preserve"> PAGEREF _Toc242392714 \h </w:instrText>
            </w:r>
            <w:r>
              <w:rPr>
                <w:webHidden/>
              </w:rPr>
            </w:r>
            <w:r>
              <w:rPr>
                <w:webHidden/>
              </w:rPr>
              <w:fldChar w:fldCharType="separate"/>
            </w:r>
            <w:r>
              <w:rPr>
                <w:webHidden/>
              </w:rPr>
              <w:t>11</w:t>
            </w:r>
            <w:r>
              <w:rPr>
                <w:webHidden/>
              </w:rPr>
              <w:fldChar w:fldCharType="end"/>
            </w:r>
          </w:hyperlink>
        </w:p>
        <w:p w14:paraId="0238F0A5" w14:textId="1DACF8C1" w:rsidR="00625D00" w:rsidRDefault="000447F4" w:rsidP="000447F4">
          <w:pPr>
            <w:rPr>
              <w:b/>
              <w:bCs/>
              <w:lang w:val="es-ES"/>
            </w:rPr>
          </w:pPr>
          <w:r>
            <w:rPr>
              <w:b/>
              <w:bCs/>
              <w:lang w:val="es-ES"/>
            </w:rPr>
            <w:fldChar w:fldCharType="end"/>
          </w:r>
        </w:p>
      </w:sdtContent>
    </w:sdt>
    <w:p w14:paraId="0E01A7C5" w14:textId="77777777" w:rsidR="000447F4" w:rsidRDefault="000447F4" w:rsidP="000447F4">
      <w:pPr>
        <w:rPr>
          <w:b/>
          <w:bCs/>
          <w:lang w:val="es-ES"/>
        </w:rPr>
      </w:pPr>
    </w:p>
    <w:p w14:paraId="0F7ABFC6" w14:textId="77777777" w:rsidR="000447F4" w:rsidRDefault="000447F4" w:rsidP="000447F4">
      <w:pPr>
        <w:rPr>
          <w:b/>
          <w:bCs/>
          <w:lang w:val="es-ES"/>
        </w:rPr>
      </w:pPr>
    </w:p>
    <w:p w14:paraId="1CC615EE" w14:textId="77777777" w:rsidR="000447F4" w:rsidRDefault="000447F4" w:rsidP="000447F4">
      <w:pPr>
        <w:rPr>
          <w:b/>
          <w:bCs/>
          <w:lang w:val="es-ES"/>
        </w:rPr>
      </w:pPr>
    </w:p>
    <w:p w14:paraId="50EA0020" w14:textId="77777777" w:rsidR="000447F4" w:rsidRDefault="000447F4" w:rsidP="000447F4">
      <w:pPr>
        <w:rPr>
          <w:b/>
          <w:bCs/>
          <w:lang w:val="es-ES"/>
        </w:rPr>
      </w:pPr>
    </w:p>
    <w:p w14:paraId="0BB5F10B" w14:textId="77777777" w:rsidR="000447F4" w:rsidRDefault="000447F4" w:rsidP="000447F4">
      <w:pPr>
        <w:rPr>
          <w:b/>
          <w:bCs/>
          <w:lang w:val="es-ES"/>
        </w:rPr>
      </w:pPr>
    </w:p>
    <w:p w14:paraId="14804FF4" w14:textId="77777777" w:rsidR="000447F4" w:rsidRDefault="000447F4" w:rsidP="000447F4">
      <w:pPr>
        <w:rPr>
          <w:b/>
          <w:bCs/>
          <w:lang w:val="es-ES"/>
        </w:rPr>
      </w:pPr>
    </w:p>
    <w:p w14:paraId="3F855F8F" w14:textId="77777777" w:rsidR="000447F4" w:rsidRDefault="000447F4" w:rsidP="000447F4">
      <w:pPr>
        <w:rPr>
          <w:b/>
          <w:bCs/>
          <w:lang w:val="es-ES"/>
        </w:rPr>
      </w:pPr>
    </w:p>
    <w:p w14:paraId="6B8D6972" w14:textId="77777777" w:rsidR="000447F4" w:rsidRDefault="000447F4" w:rsidP="000447F4">
      <w:pPr>
        <w:rPr>
          <w:b/>
          <w:bCs/>
          <w:lang w:val="es-ES"/>
        </w:rPr>
      </w:pPr>
    </w:p>
    <w:p w14:paraId="0FFE855A" w14:textId="77777777" w:rsidR="000447F4" w:rsidRDefault="000447F4" w:rsidP="000447F4">
      <w:pPr>
        <w:rPr>
          <w:b/>
          <w:bCs/>
          <w:lang w:val="es-ES"/>
        </w:rPr>
      </w:pPr>
    </w:p>
    <w:p w14:paraId="1CD0BF25" w14:textId="77777777" w:rsidR="000447F4" w:rsidRDefault="000447F4" w:rsidP="000447F4">
      <w:pPr>
        <w:rPr>
          <w:b/>
          <w:bCs/>
          <w:lang w:val="es-ES"/>
        </w:rPr>
      </w:pPr>
    </w:p>
    <w:p w14:paraId="598D6278" w14:textId="77777777" w:rsidR="000447F4" w:rsidRDefault="000447F4" w:rsidP="000447F4">
      <w:pPr>
        <w:rPr>
          <w:b/>
          <w:bCs/>
          <w:lang w:val="es-ES"/>
        </w:rPr>
      </w:pPr>
    </w:p>
    <w:p w14:paraId="4BFE6B0A" w14:textId="77777777" w:rsidR="000447F4" w:rsidRDefault="000447F4" w:rsidP="000447F4">
      <w:pPr>
        <w:rPr>
          <w:b/>
          <w:bCs/>
          <w:lang w:val="es-ES"/>
        </w:rPr>
      </w:pPr>
    </w:p>
    <w:p w14:paraId="2743F66F" w14:textId="77777777" w:rsidR="000447F4" w:rsidRDefault="000447F4" w:rsidP="000447F4">
      <w:pPr>
        <w:rPr>
          <w:b/>
          <w:bCs/>
          <w:lang w:val="es-ES"/>
        </w:rPr>
      </w:pPr>
    </w:p>
    <w:p w14:paraId="01A7FFFC" w14:textId="77777777" w:rsidR="000447F4" w:rsidRDefault="000447F4" w:rsidP="000447F4">
      <w:pPr>
        <w:rPr>
          <w:b/>
          <w:bCs/>
          <w:lang w:val="es-ES"/>
        </w:rPr>
      </w:pPr>
    </w:p>
    <w:p w14:paraId="1CC249CF" w14:textId="77777777" w:rsidR="000447F4" w:rsidRDefault="000447F4" w:rsidP="000447F4">
      <w:pPr>
        <w:rPr>
          <w:b/>
          <w:bCs/>
          <w:lang w:val="es-ES"/>
        </w:rPr>
      </w:pPr>
    </w:p>
    <w:p w14:paraId="6554AC57" w14:textId="77777777" w:rsidR="008906BF" w:rsidRDefault="008906BF" w:rsidP="000447F4">
      <w:pPr>
        <w:rPr>
          <w:b/>
          <w:bCs/>
          <w:lang w:val="es-ES"/>
        </w:rPr>
      </w:pPr>
    </w:p>
    <w:p w14:paraId="325242B7" w14:textId="77777777" w:rsidR="008906BF" w:rsidRDefault="008906BF" w:rsidP="000447F4">
      <w:pPr>
        <w:rPr>
          <w:b/>
          <w:bCs/>
          <w:lang w:val="es-ES"/>
        </w:rPr>
      </w:pPr>
    </w:p>
    <w:p w14:paraId="697C40F7" w14:textId="77777777" w:rsidR="000447F4" w:rsidRDefault="000447F4" w:rsidP="000447F4">
      <w:pPr>
        <w:rPr>
          <w:b/>
          <w:bCs/>
          <w:lang w:val="es-ES"/>
        </w:rPr>
      </w:pPr>
    </w:p>
    <w:p w14:paraId="6D68FA5C" w14:textId="77777777" w:rsidR="000447F4" w:rsidRDefault="000447F4" w:rsidP="000447F4">
      <w:pPr>
        <w:rPr>
          <w:b/>
          <w:bCs/>
          <w:lang w:val="es-ES"/>
        </w:rPr>
      </w:pPr>
    </w:p>
    <w:p w14:paraId="66C5367C" w14:textId="77777777" w:rsidR="000447F4" w:rsidRPr="000447F4" w:rsidRDefault="000447F4" w:rsidP="000447F4"/>
    <w:p w14:paraId="114D25B9" w14:textId="0093A407" w:rsidR="00776787" w:rsidRPr="00396097" w:rsidRDefault="00366727" w:rsidP="00776787">
      <w:pPr>
        <w:pStyle w:val="Ttulo1"/>
      </w:pPr>
      <w:bookmarkStart w:id="0" w:name="_Toc242392710"/>
      <w:r>
        <w:t>Introducción</w:t>
      </w:r>
      <w:bookmarkEnd w:id="0"/>
    </w:p>
    <w:p w14:paraId="0D6E5C6C" w14:textId="0E8CEDE3" w:rsidR="008906BF" w:rsidRPr="008906BF" w:rsidRDefault="008906BF" w:rsidP="005F60E3">
      <w:pPr>
        <w:ind w:left="360" w:hanging="360"/>
        <w:jc w:val="both"/>
        <w:rPr>
          <w:b/>
          <w:bCs/>
        </w:rPr>
      </w:pPr>
      <w:r w:rsidRPr="008906BF">
        <w:rPr>
          <w:b/>
          <w:bCs/>
        </w:rPr>
        <w:t>Contexto del Sistema Legacy</w:t>
      </w:r>
    </w:p>
    <w:p w14:paraId="4AC45190" w14:textId="5773EB00" w:rsidR="008906BF" w:rsidRDefault="008906BF" w:rsidP="005F60E3">
      <w:pPr>
        <w:jc w:val="both"/>
      </w:pPr>
      <w:r w:rsidRPr="008906BF">
        <w:t xml:space="preserve">El Banco XYZ es una institución financiera con más de tres décadas de trayectoria en el mercado bancario. Históricamente, sus operaciones </w:t>
      </w:r>
      <w:proofErr w:type="spellStart"/>
      <w:r w:rsidRPr="008906BF">
        <w:t>críticashan</w:t>
      </w:r>
      <w:proofErr w:type="spellEnd"/>
      <w:r w:rsidRPr="008906BF">
        <w:t xml:space="preserve"> operado sobre una infraestructura </w:t>
      </w:r>
      <w:proofErr w:type="spellStart"/>
      <w:r w:rsidRPr="008906BF">
        <w:t>legacy</w:t>
      </w:r>
      <w:proofErr w:type="spellEnd"/>
      <w:r w:rsidRPr="008906BF">
        <w:t xml:space="preserve"> fundamentada en aplicaciones COBOL y scripts Shell</w:t>
      </w:r>
      <w:r>
        <w:t>.</w:t>
      </w:r>
    </w:p>
    <w:p w14:paraId="6E02DA12" w14:textId="77777777" w:rsidR="008906BF" w:rsidRPr="008906BF" w:rsidRDefault="008906BF" w:rsidP="005F60E3">
      <w:pPr>
        <w:jc w:val="both"/>
      </w:pPr>
    </w:p>
    <w:p w14:paraId="6879E018" w14:textId="0AE503D9" w:rsidR="008906BF" w:rsidRDefault="008906BF" w:rsidP="005F60E3">
      <w:pPr>
        <w:jc w:val="both"/>
      </w:pPr>
      <w:r w:rsidRPr="008906BF">
        <w:t>A pesar de haber sostenido la continuidad operativa durante años, esta plataforma monolítica presenta barreras tecnológicas críticas frente a las exigencias operativas y regulatorias contemporáneas</w:t>
      </w:r>
      <w:r>
        <w:t>, tales como:</w:t>
      </w:r>
    </w:p>
    <w:p w14:paraId="0DC2A80C" w14:textId="77777777" w:rsidR="008906BF" w:rsidRPr="008906BF" w:rsidRDefault="008906BF" w:rsidP="005F60E3">
      <w:pPr>
        <w:jc w:val="both"/>
      </w:pPr>
    </w:p>
    <w:p w14:paraId="2696F04E" w14:textId="77777777" w:rsidR="008906BF" w:rsidRPr="008906BF" w:rsidRDefault="008906BF" w:rsidP="005F60E3">
      <w:pPr>
        <w:numPr>
          <w:ilvl w:val="0"/>
          <w:numId w:val="28"/>
        </w:numPr>
        <w:jc w:val="both"/>
      </w:pPr>
      <w:r w:rsidRPr="008906BF">
        <w:rPr>
          <w:b/>
          <w:bCs/>
        </w:rPr>
        <w:t>Limitaciones en escalabilidad y rendimiento:</w:t>
      </w:r>
      <w:r w:rsidRPr="008906BF">
        <w:t xml:space="preserve"> Los procesos </w:t>
      </w:r>
      <w:proofErr w:type="spellStart"/>
      <w:r w:rsidRPr="008906BF">
        <w:t>batch</w:t>
      </w:r>
      <w:proofErr w:type="spellEnd"/>
      <w:r w:rsidRPr="008906BF">
        <w:t xml:space="preserve"> nocturnos operan bajo ventanas de tiempo cada vez más estrechas, enfrentando cuellos de botella al procesar volúmenes crecientes de transacciones sin capacidades nativas de ejecución paralela o distribuida. </w:t>
      </w:r>
    </w:p>
    <w:p w14:paraId="078DB648" w14:textId="77777777" w:rsidR="008906BF" w:rsidRPr="008906BF" w:rsidRDefault="008906BF" w:rsidP="005F60E3">
      <w:pPr>
        <w:numPr>
          <w:ilvl w:val="0"/>
          <w:numId w:val="28"/>
        </w:numPr>
        <w:jc w:val="both"/>
      </w:pPr>
      <w:r w:rsidRPr="008906BF">
        <w:rPr>
          <w:b/>
          <w:bCs/>
        </w:rPr>
        <w:t>Acoplamiento y sobrecarga en los canales de atención:</w:t>
      </w:r>
      <w:r w:rsidRPr="008906BF">
        <w:t xml:space="preserve"> Los diferentes </w:t>
      </w:r>
      <w:proofErr w:type="spellStart"/>
      <w:r w:rsidRPr="008906BF">
        <w:t>frontends</w:t>
      </w:r>
      <w:proofErr w:type="spellEnd"/>
      <w:r w:rsidRPr="008906BF">
        <w:t xml:space="preserve"> de la entidad (banca web, aplicación móvil y red de cajeros automáticos) consumen directamente las interfaces del monolito central. Esta carencia de especialización obliga a transferir cargas de datos idénticas a todos los clientes, penalizando el rendimiento en redes móviles y restringiendo la agilidad de desarrollo entre equipos. </w:t>
      </w:r>
    </w:p>
    <w:p w14:paraId="6296A8BE" w14:textId="77777777" w:rsidR="008906BF" w:rsidRPr="008906BF" w:rsidRDefault="008906BF" w:rsidP="005F60E3">
      <w:pPr>
        <w:numPr>
          <w:ilvl w:val="0"/>
          <w:numId w:val="28"/>
        </w:numPr>
        <w:jc w:val="both"/>
      </w:pPr>
      <w:r w:rsidRPr="008906BF">
        <w:rPr>
          <w:b/>
          <w:bCs/>
        </w:rPr>
        <w:t>Falta de resiliencia y riesgos de disponibilidad:</w:t>
      </w:r>
      <w:r w:rsidRPr="008906BF">
        <w:t xml:space="preserve"> En un entorno monolítico estrechamente acoplado, la degradación o fallo puntual en un módulo interno compromete la disponibilidad global del sistema bancario. </w:t>
      </w:r>
    </w:p>
    <w:p w14:paraId="48D470E4" w14:textId="77777777" w:rsidR="008906BF" w:rsidRPr="008906BF" w:rsidRDefault="008906BF" w:rsidP="005F60E3">
      <w:pPr>
        <w:numPr>
          <w:ilvl w:val="0"/>
          <w:numId w:val="28"/>
        </w:numPr>
        <w:jc w:val="both"/>
      </w:pPr>
      <w:r w:rsidRPr="008906BF">
        <w:rPr>
          <w:b/>
          <w:bCs/>
        </w:rPr>
        <w:t>Altos costos operativos y rigidez técnica:</w:t>
      </w:r>
      <w:r w:rsidRPr="008906BF">
        <w:t xml:space="preserve"> El mantenimiento de tecnologías mainframe impone altos costos de licenciamiento e infraestructura, dificultando la integración ágil con nuevos estándares de seguridad distribuida y servicios en la nube. </w:t>
      </w:r>
    </w:p>
    <w:p w14:paraId="494D0A77" w14:textId="1782DE04" w:rsidR="00366727" w:rsidRDefault="00366727" w:rsidP="005F60E3">
      <w:pPr>
        <w:jc w:val="both"/>
      </w:pPr>
    </w:p>
    <w:p w14:paraId="751FCC45" w14:textId="01C6A6EB" w:rsidR="008906BF" w:rsidRDefault="008906BF" w:rsidP="005F60E3">
      <w:pPr>
        <w:jc w:val="both"/>
        <w:rPr>
          <w:b/>
          <w:bCs/>
        </w:rPr>
      </w:pPr>
      <w:r>
        <w:rPr>
          <w:b/>
          <w:bCs/>
        </w:rPr>
        <w:t>Objetivos</w:t>
      </w:r>
    </w:p>
    <w:p w14:paraId="47198B42" w14:textId="77777777" w:rsidR="008906BF" w:rsidRPr="008906BF" w:rsidRDefault="008906BF" w:rsidP="005F60E3">
      <w:pPr>
        <w:jc w:val="both"/>
      </w:pPr>
      <w:r w:rsidRPr="008906BF">
        <w:t xml:space="preserve">Con el propósito de mitigar estas limitaciones, el Banco XYZ definió la migración estratégica de su plataforma hacia una arquitectura moderna, modular y resiliente orientada a microservicios y desplegada en la nube. El presente proyecto aborda esta transformación mediante tres ejes técnicos fundamentales: </w:t>
      </w:r>
    </w:p>
    <w:p w14:paraId="3A003EEA" w14:textId="436FBE41" w:rsidR="008906BF" w:rsidRPr="008906BF" w:rsidRDefault="008906BF" w:rsidP="005F60E3">
      <w:pPr>
        <w:numPr>
          <w:ilvl w:val="0"/>
          <w:numId w:val="29"/>
        </w:numPr>
        <w:jc w:val="both"/>
      </w:pPr>
      <w:r w:rsidRPr="008906BF">
        <w:rPr>
          <w:b/>
          <w:bCs/>
        </w:rPr>
        <w:t xml:space="preserve">Reingeniería de procesos </w:t>
      </w:r>
      <w:proofErr w:type="spellStart"/>
      <w:r w:rsidRPr="008906BF">
        <w:rPr>
          <w:b/>
          <w:bCs/>
        </w:rPr>
        <w:t>batch</w:t>
      </w:r>
      <w:proofErr w:type="spellEnd"/>
      <w:r w:rsidRPr="008906BF">
        <w:rPr>
          <w:b/>
          <w:bCs/>
        </w:rPr>
        <w:t xml:space="preserve"> con Spring Batch</w:t>
      </w:r>
      <w:r w:rsidRPr="008906BF">
        <w:t xml:space="preserve"> </w:t>
      </w:r>
    </w:p>
    <w:p w14:paraId="367A6BFA" w14:textId="210DCB69" w:rsidR="008906BF" w:rsidRPr="008906BF" w:rsidRDefault="008906BF" w:rsidP="005F60E3">
      <w:pPr>
        <w:numPr>
          <w:ilvl w:val="0"/>
          <w:numId w:val="29"/>
        </w:numPr>
        <w:jc w:val="both"/>
      </w:pPr>
      <w:r w:rsidRPr="008906BF">
        <w:rPr>
          <w:b/>
          <w:bCs/>
        </w:rPr>
        <w:t xml:space="preserve">Especialización de canales mediante el patrón </w:t>
      </w:r>
      <w:proofErr w:type="spellStart"/>
      <w:r w:rsidRPr="008906BF">
        <w:rPr>
          <w:b/>
          <w:bCs/>
        </w:rPr>
        <w:t>Backend</w:t>
      </w:r>
      <w:proofErr w:type="spellEnd"/>
      <w:r w:rsidRPr="008906BF">
        <w:rPr>
          <w:b/>
          <w:bCs/>
        </w:rPr>
        <w:t xml:space="preserve"> </w:t>
      </w:r>
      <w:proofErr w:type="spellStart"/>
      <w:r w:rsidRPr="008906BF">
        <w:rPr>
          <w:b/>
          <w:bCs/>
        </w:rPr>
        <w:t>for</w:t>
      </w:r>
      <w:proofErr w:type="spellEnd"/>
      <w:r w:rsidRPr="008906BF">
        <w:rPr>
          <w:b/>
          <w:bCs/>
        </w:rPr>
        <w:t xml:space="preserve"> </w:t>
      </w:r>
      <w:proofErr w:type="spellStart"/>
      <w:r w:rsidRPr="008906BF">
        <w:rPr>
          <w:b/>
          <w:bCs/>
        </w:rPr>
        <w:t>Frontend</w:t>
      </w:r>
      <w:proofErr w:type="spellEnd"/>
      <w:r w:rsidRPr="008906BF">
        <w:rPr>
          <w:b/>
          <w:bCs/>
        </w:rPr>
        <w:t xml:space="preserve"> (BFF)</w:t>
      </w:r>
    </w:p>
    <w:p w14:paraId="0227D3DF" w14:textId="6EA872F0" w:rsidR="008906BF" w:rsidRPr="008906BF" w:rsidRDefault="008906BF" w:rsidP="005F60E3">
      <w:pPr>
        <w:numPr>
          <w:ilvl w:val="0"/>
          <w:numId w:val="29"/>
        </w:numPr>
        <w:jc w:val="both"/>
      </w:pPr>
      <w:r w:rsidRPr="008906BF">
        <w:rPr>
          <w:b/>
          <w:bCs/>
        </w:rPr>
        <w:t>Ecosistema de microservicios resilientes en la nube</w:t>
      </w:r>
    </w:p>
    <w:p w14:paraId="11DE58BB" w14:textId="41C81B25" w:rsidR="008906BF" w:rsidRDefault="008906BF" w:rsidP="005F60E3">
      <w:pPr>
        <w:pStyle w:val="Ttulo1"/>
        <w:jc w:val="both"/>
      </w:pPr>
      <w:bookmarkStart w:id="1" w:name="_Toc242392711"/>
      <w:r>
        <w:t>Identificación de procesos clave de migración</w:t>
      </w:r>
      <w:bookmarkEnd w:id="1"/>
    </w:p>
    <w:p w14:paraId="06F00794" w14:textId="0CD15833" w:rsidR="008906BF" w:rsidRDefault="008906BF" w:rsidP="005F60E3">
      <w:pPr>
        <w:jc w:val="both"/>
      </w:pPr>
      <w:r w:rsidRPr="008906BF">
        <w:t>Para transformar la plataforma monolítica del Banco XYZ en una arquitectura moderna, desacoplada y escalable, se identificaron y estructuraron cinco procesos críticos de modernización. Cada uno aborda un dominio técnico y operativo específico de la transició</w:t>
      </w:r>
      <w:r>
        <w:t>n.</w:t>
      </w:r>
    </w:p>
    <w:p w14:paraId="3ABD8038" w14:textId="1FB8FDB4" w:rsidR="008906BF" w:rsidRDefault="008906BF" w:rsidP="005F60E3">
      <w:pPr>
        <w:jc w:val="both"/>
      </w:pPr>
    </w:p>
    <w:p w14:paraId="1EBEE26E" w14:textId="61792F78" w:rsidR="008906BF" w:rsidRPr="008906BF" w:rsidRDefault="008906BF" w:rsidP="005F60E3">
      <w:pPr>
        <w:pStyle w:val="Prrafodelista"/>
        <w:numPr>
          <w:ilvl w:val="0"/>
          <w:numId w:val="31"/>
        </w:numPr>
        <w:jc w:val="both"/>
        <w:rPr>
          <w:b/>
          <w:bCs/>
        </w:rPr>
      </w:pPr>
      <w:r w:rsidRPr="008906BF">
        <w:rPr>
          <w:b/>
          <w:bCs/>
        </w:rPr>
        <w:t>Migración de Procesos Batch a Spring Batch</w:t>
      </w:r>
    </w:p>
    <w:p w14:paraId="75E55464" w14:textId="77777777" w:rsidR="008906BF" w:rsidRDefault="008906BF" w:rsidP="005F60E3">
      <w:pPr>
        <w:pStyle w:val="Prrafodelista"/>
        <w:numPr>
          <w:ilvl w:val="0"/>
          <w:numId w:val="32"/>
        </w:numPr>
        <w:jc w:val="both"/>
      </w:pPr>
      <w:r w:rsidRPr="008906BF">
        <w:rPr>
          <w:b/>
          <w:bCs/>
        </w:rPr>
        <w:t>Alcance</w:t>
      </w:r>
      <w:r w:rsidRPr="008906BF">
        <w:t xml:space="preserve">: Sustitución de los scripts en Shell y rutinas COBOL que ejecutaban los cierres periódicos del banco.   </w:t>
      </w:r>
    </w:p>
    <w:p w14:paraId="2808D041" w14:textId="77777777" w:rsidR="008906BF" w:rsidRDefault="008906BF" w:rsidP="005F60E3">
      <w:pPr>
        <w:pStyle w:val="Prrafodelista"/>
        <w:numPr>
          <w:ilvl w:val="0"/>
          <w:numId w:val="32"/>
        </w:numPr>
        <w:jc w:val="both"/>
      </w:pPr>
      <w:r w:rsidRPr="008906BF">
        <w:rPr>
          <w:b/>
          <w:bCs/>
        </w:rPr>
        <w:t>Implementación</w:t>
      </w:r>
      <w:r w:rsidRPr="008906BF">
        <w:t xml:space="preserve">: Reescritura bajo el </w:t>
      </w:r>
      <w:proofErr w:type="spellStart"/>
      <w:r w:rsidRPr="008906BF">
        <w:t>framework</w:t>
      </w:r>
      <w:proofErr w:type="spellEnd"/>
      <w:r w:rsidRPr="008906BF">
        <w:t xml:space="preserve"> Spring Batch de tres procesos esenciales: el Reporte de Transacciones Diarias (detección de anomalías), el Cálculo de Intereses Mensuales (aplicación sobre cuentas de ahorro y préstamos) y la Generación de Estados de Cuenta Anuales (auditoría).   </w:t>
      </w:r>
    </w:p>
    <w:p w14:paraId="7FEAF1A2" w14:textId="79E38240" w:rsidR="008460AA" w:rsidRDefault="008906BF" w:rsidP="005F60E3">
      <w:pPr>
        <w:pStyle w:val="Prrafodelista"/>
        <w:numPr>
          <w:ilvl w:val="0"/>
          <w:numId w:val="32"/>
        </w:numPr>
        <w:jc w:val="both"/>
      </w:pPr>
      <w:r w:rsidRPr="008906BF">
        <w:rPr>
          <w:b/>
          <w:bCs/>
        </w:rPr>
        <w:t>Impacto técnico</w:t>
      </w:r>
      <w:r w:rsidRPr="008906BF">
        <w:t xml:space="preserve">: Se transita desde una ejecución monolítica rígida hacia un modelo transaccional basado en </w:t>
      </w:r>
      <w:proofErr w:type="spellStart"/>
      <w:r w:rsidRPr="008906BF">
        <w:t>chunks</w:t>
      </w:r>
      <w:proofErr w:type="spellEnd"/>
      <w:r w:rsidRPr="008906BF">
        <w:t xml:space="preserve"> (lectura, procesamiento y escritura por lotes). Esto permite incorporar paralelismo multihilo y particionado para procesar grandes volúmenes de datos, políticas de reintentos (</w:t>
      </w:r>
      <w:proofErr w:type="spellStart"/>
      <w:r w:rsidRPr="008906BF">
        <w:t>retry</w:t>
      </w:r>
      <w:proofErr w:type="spellEnd"/>
      <w:r w:rsidRPr="008906BF">
        <w:t>) ante errores transitorios de red/base de datos, omisión (</w:t>
      </w:r>
      <w:proofErr w:type="spellStart"/>
      <w:r w:rsidRPr="008906BF">
        <w:t>skip</w:t>
      </w:r>
      <w:proofErr w:type="spellEnd"/>
      <w:r w:rsidRPr="008906BF">
        <w:t xml:space="preserve">) de registros no válidos y mecanismos de </w:t>
      </w:r>
      <w:proofErr w:type="spellStart"/>
      <w:r w:rsidRPr="008906BF">
        <w:t>reejecución</w:t>
      </w:r>
      <w:proofErr w:type="spellEnd"/>
      <w:r w:rsidRPr="008906BF">
        <w:t xml:space="preserve"> automática ante detenciones críticas.   </w:t>
      </w:r>
    </w:p>
    <w:p w14:paraId="51AF5F21" w14:textId="77777777" w:rsidR="008906BF" w:rsidRDefault="008906BF" w:rsidP="005F60E3">
      <w:pPr>
        <w:jc w:val="both"/>
      </w:pPr>
    </w:p>
    <w:p w14:paraId="1E1C5C8B" w14:textId="562A7C47" w:rsidR="008906BF" w:rsidRPr="008906BF" w:rsidRDefault="008906BF" w:rsidP="005F60E3">
      <w:pPr>
        <w:pStyle w:val="Prrafodelista"/>
        <w:numPr>
          <w:ilvl w:val="0"/>
          <w:numId w:val="31"/>
        </w:numPr>
        <w:jc w:val="both"/>
        <w:rPr>
          <w:b/>
          <w:bCs/>
        </w:rPr>
      </w:pPr>
      <w:r w:rsidRPr="008906BF">
        <w:rPr>
          <w:b/>
          <w:bCs/>
        </w:rPr>
        <w:t>División del Sistema Monolítico en Microservicios</w:t>
      </w:r>
    </w:p>
    <w:p w14:paraId="50A3C441" w14:textId="77777777" w:rsidR="008906BF" w:rsidRDefault="008906BF" w:rsidP="005F60E3">
      <w:pPr>
        <w:pStyle w:val="Prrafodelista"/>
        <w:numPr>
          <w:ilvl w:val="0"/>
          <w:numId w:val="32"/>
        </w:numPr>
        <w:jc w:val="both"/>
      </w:pPr>
      <w:r w:rsidRPr="008906BF">
        <w:rPr>
          <w:b/>
          <w:bCs/>
        </w:rPr>
        <w:t>Alcance</w:t>
      </w:r>
      <w:r w:rsidRPr="008906BF">
        <w:t xml:space="preserve">: Descomposición de la base de código centralizada y su modelo de datos unificado en servicios independientes orientados a dominios de negocio acotados (DDD).   </w:t>
      </w:r>
    </w:p>
    <w:p w14:paraId="3FF1FF3A" w14:textId="77777777" w:rsidR="008906BF" w:rsidRDefault="008906BF" w:rsidP="005F60E3">
      <w:pPr>
        <w:pStyle w:val="Prrafodelista"/>
        <w:numPr>
          <w:ilvl w:val="0"/>
          <w:numId w:val="32"/>
        </w:numPr>
        <w:jc w:val="both"/>
      </w:pPr>
      <w:r w:rsidRPr="008906BF">
        <w:rPr>
          <w:b/>
          <w:bCs/>
        </w:rPr>
        <w:t>Implementación</w:t>
      </w:r>
      <w:r w:rsidRPr="008906BF">
        <w:t xml:space="preserve">: </w:t>
      </w:r>
      <w:proofErr w:type="spellStart"/>
      <w:r w:rsidRPr="008906BF">
        <w:t>Modularización</w:t>
      </w:r>
      <w:proofErr w:type="spellEnd"/>
      <w:r w:rsidRPr="008906BF">
        <w:t xml:space="preserve"> en microservicios independientes: Gestión de Cuentas (saldos, movimientos, retiros y mantenimiento de cuentas), Procesamiento de Pagos/Transferencias (orquestación transaccional distribuida) y Auditoría (trazabilidad inmutable de eventos).   </w:t>
      </w:r>
    </w:p>
    <w:p w14:paraId="003784A9" w14:textId="35ACC443" w:rsidR="008460AA" w:rsidRDefault="008906BF" w:rsidP="005F60E3">
      <w:pPr>
        <w:pStyle w:val="Prrafodelista"/>
        <w:numPr>
          <w:ilvl w:val="0"/>
          <w:numId w:val="32"/>
        </w:numPr>
        <w:jc w:val="both"/>
      </w:pPr>
      <w:r w:rsidRPr="008906BF">
        <w:rPr>
          <w:b/>
          <w:bCs/>
        </w:rPr>
        <w:t>Impacto técnico</w:t>
      </w:r>
      <w:r w:rsidRPr="008906BF">
        <w:t xml:space="preserve">: Cada microservicio adopta el patrón </w:t>
      </w:r>
      <w:proofErr w:type="spellStart"/>
      <w:r w:rsidRPr="008906BF">
        <w:t>Database</w:t>
      </w:r>
      <w:proofErr w:type="spellEnd"/>
      <w:r w:rsidRPr="008906BF">
        <w:t xml:space="preserve"> per Service, operando sobre su propio esquema de base de datos relacional (Oracle </w:t>
      </w:r>
      <w:proofErr w:type="spellStart"/>
      <w:r w:rsidRPr="008906BF">
        <w:t>Autonomous</w:t>
      </w:r>
      <w:proofErr w:type="spellEnd"/>
      <w:r w:rsidRPr="008906BF">
        <w:t xml:space="preserve"> </w:t>
      </w:r>
      <w:proofErr w:type="spellStart"/>
      <w:r w:rsidRPr="008906BF">
        <w:t>Database</w:t>
      </w:r>
      <w:proofErr w:type="spellEnd"/>
      <w:r w:rsidRPr="008906BF">
        <w:t xml:space="preserve">). Esto elimina bloqueos de datos compartidos, permite el ciclo de vida independiente de cada componente, facilita el escalado horizontal enfocado en la demanda y aísla los fallos impidiendo caídas globales del sistema.   </w:t>
      </w:r>
    </w:p>
    <w:p w14:paraId="457DC166" w14:textId="77777777" w:rsidR="008906BF" w:rsidRDefault="008906BF" w:rsidP="005F60E3">
      <w:pPr>
        <w:jc w:val="both"/>
      </w:pPr>
    </w:p>
    <w:p w14:paraId="4E7EB919" w14:textId="50AC4DE9" w:rsidR="008906BF" w:rsidRPr="008906BF" w:rsidRDefault="008906BF" w:rsidP="005F60E3">
      <w:pPr>
        <w:pStyle w:val="Prrafodelista"/>
        <w:numPr>
          <w:ilvl w:val="0"/>
          <w:numId w:val="31"/>
        </w:numPr>
        <w:jc w:val="both"/>
        <w:rPr>
          <w:b/>
          <w:bCs/>
        </w:rPr>
      </w:pPr>
      <w:r w:rsidRPr="008906BF">
        <w:rPr>
          <w:b/>
          <w:bCs/>
        </w:rPr>
        <w:t xml:space="preserve">Implementación del patrón </w:t>
      </w:r>
      <w:proofErr w:type="spellStart"/>
      <w:r w:rsidRPr="008906BF">
        <w:rPr>
          <w:b/>
          <w:bCs/>
        </w:rPr>
        <w:t>Backend</w:t>
      </w:r>
      <w:proofErr w:type="spellEnd"/>
      <w:r w:rsidRPr="008906BF">
        <w:rPr>
          <w:b/>
          <w:bCs/>
        </w:rPr>
        <w:t xml:space="preserve"> For </w:t>
      </w:r>
      <w:proofErr w:type="spellStart"/>
      <w:r w:rsidRPr="008906BF">
        <w:rPr>
          <w:b/>
          <w:bCs/>
        </w:rPr>
        <w:t>Frontend</w:t>
      </w:r>
      <w:proofErr w:type="spellEnd"/>
    </w:p>
    <w:p w14:paraId="09A31EB6" w14:textId="20D17493" w:rsidR="008906BF" w:rsidRPr="008906BF" w:rsidRDefault="008906BF" w:rsidP="005F60E3">
      <w:pPr>
        <w:pStyle w:val="Prrafodelista"/>
        <w:numPr>
          <w:ilvl w:val="0"/>
          <w:numId w:val="32"/>
        </w:numPr>
        <w:jc w:val="both"/>
      </w:pPr>
      <w:r w:rsidRPr="008906BF">
        <w:rPr>
          <w:b/>
          <w:bCs/>
        </w:rPr>
        <w:t>Alcance:</w:t>
      </w:r>
      <w:r w:rsidRPr="008906BF">
        <w:t xml:space="preserve"> Desacoplamiento y especialización de la capa de exposición de </w:t>
      </w:r>
      <w:proofErr w:type="spellStart"/>
      <w:r w:rsidRPr="008906BF">
        <w:t>APIs</w:t>
      </w:r>
      <w:proofErr w:type="spellEnd"/>
      <w:r w:rsidRPr="008906BF">
        <w:t xml:space="preserve"> hacia los diferentes canales de atención de la institución. </w:t>
      </w:r>
    </w:p>
    <w:p w14:paraId="51DDE343" w14:textId="7C1962DE" w:rsidR="008906BF" w:rsidRPr="008906BF" w:rsidRDefault="008906BF" w:rsidP="005F60E3">
      <w:pPr>
        <w:pStyle w:val="Prrafodelista"/>
        <w:numPr>
          <w:ilvl w:val="0"/>
          <w:numId w:val="32"/>
        </w:numPr>
        <w:jc w:val="both"/>
      </w:pPr>
      <w:r w:rsidRPr="008906BF">
        <w:rPr>
          <w:b/>
          <w:bCs/>
        </w:rPr>
        <w:t>Implementación:</w:t>
      </w:r>
      <w:r w:rsidRPr="008906BF">
        <w:t xml:space="preserve"> Construcción de tres capas intermedias independientes:</w:t>
      </w:r>
    </w:p>
    <w:p w14:paraId="4864758E" w14:textId="71A4E85C" w:rsidR="008906BF" w:rsidRPr="008906BF" w:rsidRDefault="008906BF" w:rsidP="005F60E3">
      <w:pPr>
        <w:pStyle w:val="Prrafodelista"/>
        <w:numPr>
          <w:ilvl w:val="1"/>
          <w:numId w:val="32"/>
        </w:numPr>
        <w:jc w:val="both"/>
      </w:pPr>
      <w:r w:rsidRPr="008906BF">
        <w:rPr>
          <w:i/>
          <w:iCs/>
        </w:rPr>
        <w:t>BFF Web:</w:t>
      </w:r>
      <w:r w:rsidRPr="008906BF">
        <w:t xml:space="preserve"> Diseñado para navegadores y redes de alta velocidad, consolidando agregaciones complejas de datos en una única interacción. </w:t>
      </w:r>
    </w:p>
    <w:p w14:paraId="50FE97DC" w14:textId="407FD9C9" w:rsidR="008906BF" w:rsidRPr="008906BF" w:rsidRDefault="008906BF" w:rsidP="005F60E3">
      <w:pPr>
        <w:pStyle w:val="Prrafodelista"/>
        <w:numPr>
          <w:ilvl w:val="1"/>
          <w:numId w:val="32"/>
        </w:numPr>
        <w:jc w:val="both"/>
      </w:pPr>
      <w:r w:rsidRPr="008906BF">
        <w:rPr>
          <w:i/>
          <w:iCs/>
        </w:rPr>
        <w:t>BFF Móvil:</w:t>
      </w:r>
      <w:r w:rsidRPr="008906BF">
        <w:t xml:space="preserve"> Enfocado en transferir cargas de datos mínimas y esenciales (</w:t>
      </w:r>
      <w:proofErr w:type="spellStart"/>
      <w:r w:rsidRPr="008906BF">
        <w:rPr>
          <w:i/>
          <w:iCs/>
        </w:rPr>
        <w:t>payloads</w:t>
      </w:r>
      <w:proofErr w:type="spellEnd"/>
      <w:r w:rsidRPr="008906BF">
        <w:t xml:space="preserve"> compactos), reduciendo la latencia y el consumo de ancho de banda móvil. </w:t>
      </w:r>
    </w:p>
    <w:p w14:paraId="5214B381" w14:textId="1071B21F" w:rsidR="008906BF" w:rsidRDefault="008906BF" w:rsidP="005F60E3">
      <w:pPr>
        <w:pStyle w:val="Prrafodelista"/>
        <w:numPr>
          <w:ilvl w:val="1"/>
          <w:numId w:val="32"/>
        </w:numPr>
        <w:tabs>
          <w:tab w:val="num" w:pos="720"/>
        </w:tabs>
        <w:jc w:val="both"/>
      </w:pPr>
      <w:r w:rsidRPr="008906BF">
        <w:rPr>
          <w:i/>
          <w:iCs/>
        </w:rPr>
        <w:t>BFF Cajeros Automáticos (ATM):</w:t>
      </w:r>
      <w:r w:rsidRPr="008906BF">
        <w:t xml:space="preserve"> Optimizado para transacciones críticas de baja latencia (consultas de saldo y retiros), requiriendo validaciones operativas estrictas de terminal. </w:t>
      </w:r>
    </w:p>
    <w:p w14:paraId="195F71FF" w14:textId="77777777" w:rsidR="008906BF" w:rsidRPr="008906BF" w:rsidRDefault="008906BF" w:rsidP="005F60E3">
      <w:pPr>
        <w:jc w:val="both"/>
      </w:pPr>
    </w:p>
    <w:p w14:paraId="1176462D" w14:textId="69FCD4BD" w:rsidR="008906BF" w:rsidRDefault="008906BF" w:rsidP="005F60E3">
      <w:pPr>
        <w:pStyle w:val="Prrafodelista"/>
        <w:numPr>
          <w:ilvl w:val="0"/>
          <w:numId w:val="32"/>
        </w:numPr>
        <w:jc w:val="both"/>
      </w:pPr>
      <w:r w:rsidRPr="008906BF">
        <w:rPr>
          <w:b/>
          <w:bCs/>
        </w:rPr>
        <w:t>Impacto técnico:</w:t>
      </w:r>
      <w:r w:rsidRPr="008906BF">
        <w:t xml:space="preserve"> Elimina el </w:t>
      </w:r>
      <w:proofErr w:type="spellStart"/>
      <w:r w:rsidRPr="008906BF">
        <w:t>sobre-procesamiento</w:t>
      </w:r>
      <w:proofErr w:type="spellEnd"/>
      <w:r w:rsidRPr="008906BF">
        <w:t xml:space="preserve"> (</w:t>
      </w:r>
      <w:proofErr w:type="spellStart"/>
      <w:r w:rsidRPr="008906BF">
        <w:rPr>
          <w:i/>
          <w:iCs/>
        </w:rPr>
        <w:t>over-fetching</w:t>
      </w:r>
      <w:proofErr w:type="spellEnd"/>
      <w:r w:rsidRPr="008906BF">
        <w:t xml:space="preserve">) que sufría el monolito, optimiza la experiencia de usuario y desacopla los ciclos de despliegue de los equipos de </w:t>
      </w:r>
      <w:proofErr w:type="spellStart"/>
      <w:r w:rsidRPr="008906BF">
        <w:t>Frontend</w:t>
      </w:r>
      <w:proofErr w:type="spellEnd"/>
      <w:r w:rsidRPr="008906BF">
        <w:t xml:space="preserve"> y </w:t>
      </w:r>
      <w:proofErr w:type="spellStart"/>
      <w:r w:rsidRPr="008906BF">
        <w:t>Backend</w:t>
      </w:r>
      <w:proofErr w:type="spellEnd"/>
      <w:r w:rsidRPr="008906BF">
        <w:t xml:space="preserve">. </w:t>
      </w:r>
    </w:p>
    <w:p w14:paraId="228C45B3" w14:textId="77777777" w:rsidR="008906BF" w:rsidRDefault="008906BF" w:rsidP="005F60E3">
      <w:pPr>
        <w:jc w:val="both"/>
      </w:pPr>
    </w:p>
    <w:p w14:paraId="4272A379" w14:textId="3AD0A0E2" w:rsidR="008906BF" w:rsidRDefault="008906BF" w:rsidP="005F60E3">
      <w:pPr>
        <w:pStyle w:val="Prrafodelista"/>
        <w:numPr>
          <w:ilvl w:val="0"/>
          <w:numId w:val="31"/>
        </w:numPr>
        <w:jc w:val="both"/>
        <w:rPr>
          <w:b/>
          <w:bCs/>
        </w:rPr>
      </w:pPr>
      <w:r w:rsidRPr="008906BF">
        <w:rPr>
          <w:b/>
          <w:bCs/>
        </w:rPr>
        <w:t>Implementación de Seguridad Distribuida con Spring Security y OAuth 2.0</w:t>
      </w:r>
    </w:p>
    <w:p w14:paraId="5CE58E30" w14:textId="353BF232" w:rsidR="008906BF" w:rsidRDefault="008906BF" w:rsidP="005F60E3">
      <w:pPr>
        <w:pStyle w:val="Prrafodelista"/>
        <w:numPr>
          <w:ilvl w:val="0"/>
          <w:numId w:val="32"/>
        </w:numPr>
        <w:jc w:val="both"/>
      </w:pPr>
      <w:r w:rsidRPr="008906BF">
        <w:rPr>
          <w:b/>
          <w:bCs/>
        </w:rPr>
        <w:t>Alcance</w:t>
      </w:r>
      <w:r w:rsidRPr="008906BF">
        <w:t>: Migración desde esquemas de autenticación centralizados y sesiones monolíticas hacia un modelo de seguridad distribuida sin estado (</w:t>
      </w:r>
      <w:proofErr w:type="spellStart"/>
      <w:r w:rsidRPr="008906BF">
        <w:t>stateless</w:t>
      </w:r>
      <w:proofErr w:type="spellEnd"/>
      <w:r w:rsidRPr="008906BF">
        <w:t xml:space="preserve">).   </w:t>
      </w:r>
    </w:p>
    <w:p w14:paraId="61D276E8" w14:textId="77777777" w:rsidR="008906BF" w:rsidRDefault="008906BF" w:rsidP="005F60E3">
      <w:pPr>
        <w:pStyle w:val="Prrafodelista"/>
        <w:numPr>
          <w:ilvl w:val="0"/>
          <w:numId w:val="32"/>
        </w:numPr>
        <w:jc w:val="both"/>
      </w:pPr>
      <w:r w:rsidRPr="008906BF">
        <w:rPr>
          <w:b/>
          <w:bCs/>
        </w:rPr>
        <w:t>Implementación</w:t>
      </w:r>
      <w:r w:rsidRPr="008906BF">
        <w:t>: Incorporación de un servidor de autorización (</w:t>
      </w:r>
      <w:proofErr w:type="spellStart"/>
      <w:r w:rsidRPr="008906BF">
        <w:t>auth</w:t>
      </w:r>
      <w:proofErr w:type="spellEnd"/>
      <w:r w:rsidRPr="008906BF">
        <w:t xml:space="preserve">-server) fundamentado en Spring </w:t>
      </w:r>
      <w:proofErr w:type="spellStart"/>
      <w:r w:rsidRPr="008906BF">
        <w:t>Authorization</w:t>
      </w:r>
      <w:proofErr w:type="spellEnd"/>
      <w:r w:rsidRPr="008906BF">
        <w:t xml:space="preserve"> Server con protocolo OAuth 2.0 y tokens criptográficos JWT (RS256).   </w:t>
      </w:r>
    </w:p>
    <w:p w14:paraId="00C1CFBF" w14:textId="77777777" w:rsidR="008906BF" w:rsidRDefault="008906BF" w:rsidP="005F60E3">
      <w:pPr>
        <w:pStyle w:val="Prrafodelista"/>
        <w:numPr>
          <w:ilvl w:val="0"/>
          <w:numId w:val="32"/>
        </w:numPr>
        <w:jc w:val="both"/>
      </w:pPr>
      <w:r w:rsidRPr="008906BF">
        <w:rPr>
          <w:b/>
          <w:bCs/>
        </w:rPr>
        <w:t>Impacto técnico</w:t>
      </w:r>
      <w:r w:rsidRPr="008906BF">
        <w:t>: Se definen audiencias (</w:t>
      </w:r>
      <w:proofErr w:type="spellStart"/>
      <w:r w:rsidRPr="008906BF">
        <w:t>aud</w:t>
      </w:r>
      <w:proofErr w:type="spellEnd"/>
      <w:r w:rsidRPr="008906BF">
        <w:t xml:space="preserve">) y permisos específicos por canal. Los microservicios y capas BFF actúan como </w:t>
      </w:r>
      <w:proofErr w:type="spellStart"/>
      <w:r w:rsidRPr="008906BF">
        <w:t>Resource</w:t>
      </w:r>
      <w:proofErr w:type="spellEnd"/>
      <w:r w:rsidRPr="008906BF">
        <w:t xml:space="preserve"> Servers, validando tokens de forma descentralizada sin sobrecargar la base de datos de usuarios. La comunicación entre capas se refuerza mediante cifrado TLS/HTTPS y verificación de certificados. </w:t>
      </w:r>
    </w:p>
    <w:p w14:paraId="7DF3EB22" w14:textId="77777777" w:rsidR="008906BF" w:rsidRDefault="008906BF" w:rsidP="005F60E3">
      <w:pPr>
        <w:jc w:val="both"/>
      </w:pPr>
    </w:p>
    <w:p w14:paraId="42E932CC" w14:textId="34772F2B" w:rsidR="008906BF" w:rsidRDefault="008906BF" w:rsidP="005F60E3">
      <w:pPr>
        <w:pStyle w:val="Prrafodelista"/>
        <w:numPr>
          <w:ilvl w:val="0"/>
          <w:numId w:val="31"/>
        </w:numPr>
        <w:jc w:val="both"/>
        <w:rPr>
          <w:b/>
          <w:bCs/>
        </w:rPr>
      </w:pPr>
      <w:r w:rsidRPr="008906BF">
        <w:rPr>
          <w:b/>
          <w:bCs/>
        </w:rPr>
        <w:t xml:space="preserve">  Integración de Mensajería Asíncrona Orientada a Eventos</w:t>
      </w:r>
    </w:p>
    <w:p w14:paraId="77900526" w14:textId="77777777" w:rsidR="00A427B1" w:rsidRDefault="008906BF" w:rsidP="005F60E3">
      <w:pPr>
        <w:pStyle w:val="Prrafodelista"/>
        <w:numPr>
          <w:ilvl w:val="0"/>
          <w:numId w:val="32"/>
        </w:numPr>
        <w:jc w:val="both"/>
      </w:pPr>
      <w:r w:rsidRPr="00A427B1">
        <w:rPr>
          <w:b/>
          <w:bCs/>
        </w:rPr>
        <w:t>Alcance</w:t>
      </w:r>
      <w:r w:rsidRPr="008906BF">
        <w:t>: Reemplazo de las llamadas sincrónicas bloqueantes y transacciones distribuidas 2PC (Two-</w:t>
      </w:r>
      <w:proofErr w:type="spellStart"/>
      <w:r w:rsidRPr="008906BF">
        <w:t>Phase</w:t>
      </w:r>
      <w:proofErr w:type="spellEnd"/>
      <w:r w:rsidRPr="008906BF">
        <w:t xml:space="preserve"> </w:t>
      </w:r>
      <w:proofErr w:type="spellStart"/>
      <w:r w:rsidRPr="008906BF">
        <w:t>Commit</w:t>
      </w:r>
      <w:proofErr w:type="spellEnd"/>
      <w:r w:rsidRPr="008906BF">
        <w:t xml:space="preserve">) por una comunicación dirigida por eventos de negocio.   </w:t>
      </w:r>
    </w:p>
    <w:p w14:paraId="60499F8A" w14:textId="0A945510" w:rsidR="00A427B1" w:rsidRDefault="008906BF" w:rsidP="005F60E3">
      <w:pPr>
        <w:pStyle w:val="Prrafodelista"/>
        <w:numPr>
          <w:ilvl w:val="0"/>
          <w:numId w:val="32"/>
        </w:numPr>
        <w:jc w:val="both"/>
      </w:pPr>
      <w:r w:rsidRPr="00A427B1">
        <w:rPr>
          <w:b/>
          <w:bCs/>
        </w:rPr>
        <w:t>Implementación</w:t>
      </w:r>
      <w:r w:rsidRPr="008906BF">
        <w:t xml:space="preserve">: Configuración de una topología de mensajería asíncrona mediante tópicos, suscripciones y productores/consumidores para la publicación de eventos como transacciones completadas, transferencias iniciadas y auditoría operativa.   </w:t>
      </w:r>
    </w:p>
    <w:p w14:paraId="7905E675" w14:textId="48C13C64" w:rsidR="008906BF" w:rsidRPr="008906BF" w:rsidRDefault="008906BF" w:rsidP="005F60E3">
      <w:pPr>
        <w:pStyle w:val="Prrafodelista"/>
        <w:numPr>
          <w:ilvl w:val="0"/>
          <w:numId w:val="32"/>
        </w:numPr>
        <w:jc w:val="both"/>
      </w:pPr>
      <w:r w:rsidRPr="00A427B1">
        <w:rPr>
          <w:b/>
          <w:bCs/>
        </w:rPr>
        <w:t>Impacto técnico</w:t>
      </w:r>
      <w:r w:rsidRPr="008906BF">
        <w:t xml:space="preserve">: Desacopla temporal y espacialmente los servicios. Permite implementar patrones avanzados de consistencia eventual, tales como el Patrón Saga (coordinando transferencias entre cuentas mediante eventos de compensación ante fallos), el patrón </w:t>
      </w:r>
      <w:proofErr w:type="spellStart"/>
      <w:r w:rsidRPr="008906BF">
        <w:t>Outbox</w:t>
      </w:r>
      <w:proofErr w:type="spellEnd"/>
      <w:r w:rsidRPr="008906BF">
        <w:t xml:space="preserve"> para garantizar transaccionalidad atómica entre la base de datos y el </w:t>
      </w:r>
      <w:proofErr w:type="spellStart"/>
      <w:r w:rsidRPr="008906BF">
        <w:t>broker</w:t>
      </w:r>
      <w:proofErr w:type="spellEnd"/>
      <w:r w:rsidRPr="008906BF">
        <w:t>, y colas de descarte (</w:t>
      </w:r>
      <w:proofErr w:type="spellStart"/>
      <w:r w:rsidRPr="008906BF">
        <w:t>Dead</w:t>
      </w:r>
      <w:proofErr w:type="spellEnd"/>
      <w:r w:rsidRPr="008906BF">
        <w:t xml:space="preserve"> Letter </w:t>
      </w:r>
      <w:proofErr w:type="spellStart"/>
      <w:r w:rsidRPr="008906BF">
        <w:t>Queues</w:t>
      </w:r>
      <w:proofErr w:type="spellEnd"/>
      <w:r w:rsidRPr="008906BF">
        <w:t xml:space="preserve"> - DLQ) para procesar mensajes anómalos sin detener el flujo transaccional.   </w:t>
      </w:r>
    </w:p>
    <w:p w14:paraId="0EB0CED3" w14:textId="6EBC8F9D" w:rsidR="000447F4" w:rsidRDefault="005F60E3" w:rsidP="005F60E3">
      <w:pPr>
        <w:pStyle w:val="Ttulo1"/>
        <w:jc w:val="both"/>
      </w:pPr>
      <w:bookmarkStart w:id="2" w:name="_Toc242392712"/>
      <w:r>
        <w:t>Propuesta de arquitectura</w:t>
      </w:r>
      <w:bookmarkEnd w:id="2"/>
    </w:p>
    <w:p w14:paraId="00ECC9CF" w14:textId="77777777" w:rsidR="005F60E3" w:rsidRDefault="005F60E3" w:rsidP="005F60E3">
      <w:pPr>
        <w:jc w:val="both"/>
      </w:pPr>
      <w:r w:rsidRPr="005F60E3">
        <w:t xml:space="preserve">La solución adoptada implementa una arquitectura distribuida por capas, orientada a microservicios y desplegada sobre contenedores Docker en infraestructura AWS EC2 conectada a Oracle </w:t>
      </w:r>
      <w:proofErr w:type="spellStart"/>
      <w:r w:rsidRPr="005F60E3">
        <w:t>Autonomous</w:t>
      </w:r>
      <w:proofErr w:type="spellEnd"/>
      <w:r w:rsidRPr="005F60E3">
        <w:t xml:space="preserve"> </w:t>
      </w:r>
      <w:proofErr w:type="spellStart"/>
      <w:r w:rsidRPr="005F60E3">
        <w:t>Database</w:t>
      </w:r>
      <w:proofErr w:type="spellEnd"/>
      <w:r w:rsidRPr="005F60E3">
        <w:t xml:space="preserve">.   </w:t>
      </w:r>
    </w:p>
    <w:p w14:paraId="7742F78E" w14:textId="77777777" w:rsidR="005F60E3" w:rsidRDefault="005F60E3" w:rsidP="005F60E3">
      <w:pPr>
        <w:jc w:val="both"/>
      </w:pPr>
    </w:p>
    <w:p w14:paraId="67D77B18" w14:textId="77777777" w:rsidR="005F60E3" w:rsidRDefault="005F60E3" w:rsidP="005F60E3">
      <w:pPr>
        <w:jc w:val="both"/>
      </w:pPr>
      <w:r w:rsidRPr="005F60E3">
        <w:t xml:space="preserve">La primera capa comprende los clientes finales representados por navegadores web, dispositivos móviles y terminales de cajero automático. Cada uno de estos canales se comunica de forma exclusiva con su respectivo </w:t>
      </w:r>
      <w:proofErr w:type="spellStart"/>
      <w:r w:rsidRPr="005F60E3">
        <w:t>Backend</w:t>
      </w:r>
      <w:proofErr w:type="spellEnd"/>
      <w:r w:rsidRPr="005F60E3">
        <w:t xml:space="preserve"> </w:t>
      </w:r>
      <w:proofErr w:type="spellStart"/>
      <w:r w:rsidRPr="005F60E3">
        <w:t>for</w:t>
      </w:r>
      <w:proofErr w:type="spellEnd"/>
      <w:r w:rsidRPr="005F60E3">
        <w:t xml:space="preserve"> </w:t>
      </w:r>
      <w:proofErr w:type="spellStart"/>
      <w:r w:rsidRPr="005F60E3">
        <w:t>Frontend</w:t>
      </w:r>
      <w:proofErr w:type="spellEnd"/>
      <w:r w:rsidRPr="005F60E3">
        <w:t xml:space="preserve"> (</w:t>
      </w:r>
      <w:proofErr w:type="spellStart"/>
      <w:r w:rsidRPr="005F60E3">
        <w:t>bff</w:t>
      </w:r>
      <w:proofErr w:type="spellEnd"/>
      <w:r w:rsidRPr="005F60E3">
        <w:t xml:space="preserve">-web, </w:t>
      </w:r>
      <w:proofErr w:type="spellStart"/>
      <w:r w:rsidRPr="005F60E3">
        <w:t>bff-movil</w:t>
      </w:r>
      <w:proofErr w:type="spellEnd"/>
      <w:r w:rsidRPr="005F60E3">
        <w:t xml:space="preserve"> y </w:t>
      </w:r>
      <w:proofErr w:type="spellStart"/>
      <w:r w:rsidRPr="005F60E3">
        <w:t>bff</w:t>
      </w:r>
      <w:proofErr w:type="spellEnd"/>
      <w:r w:rsidRPr="005F60E3">
        <w:t xml:space="preserve">-cajero), los cuales actúan como agregadores de datos y adaptadores de protocolo, asegurando que ningún cliente externo interactúe de manera directa con los microservicios de dominio.   </w:t>
      </w:r>
    </w:p>
    <w:p w14:paraId="489DE7BA" w14:textId="77777777" w:rsidR="005F60E3" w:rsidRDefault="005F60E3" w:rsidP="005F60E3">
      <w:pPr>
        <w:jc w:val="both"/>
      </w:pPr>
    </w:p>
    <w:p w14:paraId="7530BE52" w14:textId="77777777" w:rsidR="005F60E3" w:rsidRDefault="005F60E3" w:rsidP="005F60E3">
      <w:pPr>
        <w:jc w:val="both"/>
      </w:pPr>
      <w:r w:rsidRPr="005F60E3">
        <w:t xml:space="preserve">La capa de infraestructura y soporte de Spring Cloud centraliza el gobierno del sistema mediante </w:t>
      </w:r>
      <w:proofErr w:type="spellStart"/>
      <w:r w:rsidRPr="005F60E3">
        <w:t>config</w:t>
      </w:r>
      <w:proofErr w:type="spellEnd"/>
      <w:r w:rsidRPr="005F60E3">
        <w:t xml:space="preserve">-server, encargado de distribuir las propiedades de configuración externas, y eureka-server, responsable del registro y descubrimiento dinámico de todas las instancias en ejecución. La seguridad perimetral y federada reside en </w:t>
      </w:r>
      <w:proofErr w:type="spellStart"/>
      <w:r w:rsidRPr="005F60E3">
        <w:t>auth</w:t>
      </w:r>
      <w:proofErr w:type="spellEnd"/>
      <w:r w:rsidRPr="005F60E3">
        <w:t xml:space="preserve">-server, el cual valida credenciales y entrega los tokens de acceso que son requeridos por los </w:t>
      </w:r>
      <w:proofErr w:type="spellStart"/>
      <w:r w:rsidRPr="005F60E3">
        <w:t>BFFs</w:t>
      </w:r>
      <w:proofErr w:type="spellEnd"/>
      <w:r w:rsidRPr="005F60E3">
        <w:t xml:space="preserve"> y validados por los microservicios mediante Spring Security.   </w:t>
      </w:r>
    </w:p>
    <w:p w14:paraId="7647CF11" w14:textId="77777777" w:rsidR="005F60E3" w:rsidRDefault="005F60E3" w:rsidP="005F60E3">
      <w:pPr>
        <w:jc w:val="both"/>
      </w:pPr>
    </w:p>
    <w:p w14:paraId="130E0EC8" w14:textId="77777777" w:rsidR="005F60E3" w:rsidRDefault="005F60E3" w:rsidP="005F60E3">
      <w:pPr>
        <w:jc w:val="both"/>
      </w:pPr>
      <w:r w:rsidRPr="005F60E3">
        <w:t xml:space="preserve">En el núcleo de negocio se sitúan los microservicios de dominio (ms-cuentas, ms-transferencias y ms-auditoria), cada uno operando con aislamiento de esquema en la base de datos relacional para preservar la independencia transaccional. La comunicación asíncrona entre estos servicios y la orquestación de transferencias se canaliza a través de un </w:t>
      </w:r>
      <w:proofErr w:type="spellStart"/>
      <w:r w:rsidRPr="005F60E3">
        <w:t>broker</w:t>
      </w:r>
      <w:proofErr w:type="spellEnd"/>
      <w:r w:rsidRPr="005F60E3">
        <w:t xml:space="preserve"> de eventos con tópicos especializados, garantizando el registro inmutable de auditoría y la ejecución de la saga de pagos.   </w:t>
      </w:r>
    </w:p>
    <w:p w14:paraId="19E36839" w14:textId="77777777" w:rsidR="005F60E3" w:rsidRDefault="005F60E3" w:rsidP="005F60E3">
      <w:pPr>
        <w:jc w:val="both"/>
      </w:pPr>
    </w:p>
    <w:p w14:paraId="734396F1" w14:textId="1D59D23E" w:rsidR="000447F4" w:rsidRDefault="005F60E3" w:rsidP="005F60E3">
      <w:pPr>
        <w:jc w:val="both"/>
      </w:pPr>
      <w:r w:rsidRPr="005F60E3">
        <w:t xml:space="preserve">Finalmente, el subsistema </w:t>
      </w:r>
      <w:proofErr w:type="spellStart"/>
      <w:r w:rsidRPr="005F60E3">
        <w:t>batch</w:t>
      </w:r>
      <w:proofErr w:type="spellEnd"/>
      <w:r w:rsidRPr="005F60E3">
        <w:t xml:space="preserve"> (</w:t>
      </w:r>
      <w:proofErr w:type="spellStart"/>
      <w:r w:rsidRPr="005F60E3">
        <w:t>bank-batch</w:t>
      </w:r>
      <w:proofErr w:type="spellEnd"/>
      <w:r w:rsidRPr="005F60E3">
        <w:t xml:space="preserve">) opera de manera desacoplada para la ingesta y transformación de los datos </w:t>
      </w:r>
      <w:proofErr w:type="spellStart"/>
      <w:r w:rsidRPr="005F60E3">
        <w:t>legacy</w:t>
      </w:r>
      <w:proofErr w:type="spellEnd"/>
      <w:r w:rsidRPr="005F60E3">
        <w:t xml:space="preserve"> del Banco XYZ. Este componente interactúa directamente con los archivos fuente del sistema anterior para poblar y reconciliar la información histórica dentro de los esquemas de la base de datos, completando la transición operativa sin interferir con las operaciones transaccionales en tiempo real del banco.</w:t>
      </w:r>
    </w:p>
    <w:p w14:paraId="148B9EF8" w14:textId="77777777" w:rsidR="000447F4" w:rsidRDefault="000447F4" w:rsidP="006E5B15"/>
    <w:p w14:paraId="137485AE" w14:textId="15B14615" w:rsidR="005F60E3" w:rsidRDefault="005F60E3" w:rsidP="005F60E3">
      <w:pPr>
        <w:pStyle w:val="Ttulo1"/>
        <w:jc w:val="both"/>
      </w:pPr>
      <w:bookmarkStart w:id="3" w:name="_Toc242392713"/>
      <w:r>
        <w:t>Detalle de implementación por módulos</w:t>
      </w:r>
      <w:bookmarkEnd w:id="3"/>
    </w:p>
    <w:p w14:paraId="7B86B2DF" w14:textId="6209B897" w:rsidR="000447F4" w:rsidRPr="005F60E3" w:rsidRDefault="005F60E3" w:rsidP="005F60E3">
      <w:pPr>
        <w:pStyle w:val="Prrafodelista"/>
        <w:numPr>
          <w:ilvl w:val="0"/>
          <w:numId w:val="35"/>
        </w:numPr>
        <w:jc w:val="both"/>
        <w:rPr>
          <w:b/>
          <w:bCs/>
        </w:rPr>
      </w:pPr>
      <w:r w:rsidRPr="005F60E3">
        <w:rPr>
          <w:b/>
          <w:bCs/>
        </w:rPr>
        <w:t>Subsistema de Procesamiento por Lotes con Spring Batch</w:t>
      </w:r>
    </w:p>
    <w:p w14:paraId="5488A75D" w14:textId="77777777" w:rsidR="005F60E3" w:rsidRDefault="005F60E3" w:rsidP="005F60E3">
      <w:pPr>
        <w:jc w:val="both"/>
      </w:pPr>
    </w:p>
    <w:p w14:paraId="1720F206" w14:textId="77777777" w:rsidR="005F60E3" w:rsidRPr="005F60E3" w:rsidRDefault="005F60E3" w:rsidP="005F60E3">
      <w:pPr>
        <w:jc w:val="both"/>
      </w:pPr>
      <w:r w:rsidRPr="005F60E3">
        <w:t xml:space="preserve">El componente </w:t>
      </w:r>
      <w:proofErr w:type="spellStart"/>
      <w:r w:rsidRPr="005F60E3">
        <w:t>bank-batch</w:t>
      </w:r>
      <w:proofErr w:type="spellEnd"/>
      <w:r w:rsidRPr="005F60E3">
        <w:t xml:space="preserve"> centraliza la lógica de ingesta, cálculo y reconciliación de la información financiera a partir del conjunto de datos </w:t>
      </w:r>
      <w:proofErr w:type="spellStart"/>
      <w:r w:rsidRPr="005F60E3">
        <w:t>legacy</w:t>
      </w:r>
      <w:proofErr w:type="spellEnd"/>
      <w:r w:rsidRPr="005F60E3">
        <w:t xml:space="preserve">. Su arquitectura se organiza en torno a tres Jobs independientes estructurados bajo el patrón de procesamiento orientado a bloques o </w:t>
      </w:r>
      <w:proofErr w:type="spellStart"/>
      <w:r w:rsidRPr="005F60E3">
        <w:t>chunks</w:t>
      </w:r>
      <w:proofErr w:type="spellEnd"/>
      <w:r w:rsidRPr="005F60E3">
        <w:t>, asegurando un control transaccional delimitado por pasos de lectura (</w:t>
      </w:r>
      <w:proofErr w:type="spellStart"/>
      <w:r w:rsidRPr="005F60E3">
        <w:t>ItemReader</w:t>
      </w:r>
      <w:proofErr w:type="spellEnd"/>
      <w:r w:rsidRPr="005F60E3">
        <w:t>), transformación de reglas bancarias (</w:t>
      </w:r>
      <w:proofErr w:type="spellStart"/>
      <w:r w:rsidRPr="005F60E3">
        <w:t>ItemProcessor</w:t>
      </w:r>
      <w:proofErr w:type="spellEnd"/>
      <w:r w:rsidRPr="005F60E3">
        <w:t>) y persistencia relacional (</w:t>
      </w:r>
      <w:proofErr w:type="spellStart"/>
      <w:r w:rsidRPr="005F60E3">
        <w:t>ItemWriter</w:t>
      </w:r>
      <w:proofErr w:type="spellEnd"/>
      <w:r w:rsidRPr="005F60E3">
        <w:t xml:space="preserve">). </w:t>
      </w:r>
    </w:p>
    <w:p w14:paraId="65F17EA2" w14:textId="77777777" w:rsidR="005F60E3" w:rsidRPr="005F60E3" w:rsidRDefault="005F60E3" w:rsidP="005F60E3">
      <w:pPr>
        <w:jc w:val="both"/>
      </w:pPr>
      <w:r w:rsidRPr="005F60E3">
        <w:t xml:space="preserve">El primer trabajo, denominado </w:t>
      </w:r>
      <w:proofErr w:type="spellStart"/>
      <w:r w:rsidRPr="005F60E3">
        <w:t>transaccionesJob</w:t>
      </w:r>
      <w:proofErr w:type="spellEnd"/>
      <w:r w:rsidRPr="005F60E3">
        <w:t xml:space="preserve">, lee y procesa el registro diario de operaciones con el propósito de clasificar movimientos y detectar anomalías en montos y frecuencias transaccionales. El segundo trabajo, </w:t>
      </w:r>
      <w:proofErr w:type="spellStart"/>
      <w:r w:rsidRPr="005F60E3">
        <w:t>interesesJob</w:t>
      </w:r>
      <w:proofErr w:type="spellEnd"/>
      <w:r w:rsidRPr="005F60E3">
        <w:t xml:space="preserve">, aplica las fórmulas de liquidación de intereses periódicos sobre saldos de cuentas de ahorro y contratos de préstamos, consolidando los cálculos en los balances bancarios. El tercer trabajo, </w:t>
      </w:r>
      <w:proofErr w:type="spellStart"/>
      <w:r w:rsidRPr="005F60E3">
        <w:t>anualesJob</w:t>
      </w:r>
      <w:proofErr w:type="spellEnd"/>
      <w:r w:rsidRPr="005F60E3">
        <w:t xml:space="preserve">, realiza la consolidación masiva de estados de cuenta anuales destinada a soportar los requerimientos de auditoría y reportes históricos. </w:t>
      </w:r>
    </w:p>
    <w:p w14:paraId="7C93FE5D" w14:textId="77777777" w:rsidR="005F60E3" w:rsidRPr="005F60E3" w:rsidRDefault="005F60E3" w:rsidP="005F60E3">
      <w:pPr>
        <w:jc w:val="both"/>
      </w:pPr>
      <w:r w:rsidRPr="005F60E3">
        <w:t xml:space="preserve">Para optimizar el rendimiento y procesar grandes volúmenes de datos en ventanas de tiempo reducidas, la solución incorpora dos estrategias de paralelismo configurables mediante propiedades del entorno. En primer término, se dispone de ejecución multihilo en el paso de procesamiento; en segundo término, se implementa particionado de datos, dividiendo el conjunto de registros en particiones independientes asignadas a hilos de trabajo paralelos. </w:t>
      </w:r>
    </w:p>
    <w:p w14:paraId="54923D1B" w14:textId="77777777" w:rsidR="005F60E3" w:rsidRPr="005F60E3" w:rsidRDefault="005F60E3" w:rsidP="005F60E3">
      <w:pPr>
        <w:jc w:val="both"/>
      </w:pPr>
      <w:r w:rsidRPr="005F60E3">
        <w:t xml:space="preserve">La tolerancia a fallos en el procesamiento </w:t>
      </w:r>
      <w:proofErr w:type="spellStart"/>
      <w:r w:rsidRPr="005F60E3">
        <w:t>batch</w:t>
      </w:r>
      <w:proofErr w:type="spellEnd"/>
      <w:r w:rsidRPr="005F60E3">
        <w:t xml:space="preserve"> se gestiona mediante mecanismos avanzados de resiliencia. Ante excepciones transitorias, como intermitencias de red o bloqueos de concurrencia en la base de datos, se aplican políticas de reintento progresivo con retroceso exponencial (</w:t>
      </w:r>
      <w:proofErr w:type="spellStart"/>
      <w:r w:rsidRPr="005F60E3">
        <w:t>exponential</w:t>
      </w:r>
      <w:proofErr w:type="spellEnd"/>
      <w:r w:rsidRPr="005F60E3">
        <w:t xml:space="preserve"> </w:t>
      </w:r>
      <w:proofErr w:type="spellStart"/>
      <w:r w:rsidRPr="005F60E3">
        <w:t>backoff</w:t>
      </w:r>
      <w:proofErr w:type="spellEnd"/>
      <w:r w:rsidRPr="005F60E3">
        <w:t>). Cuando se detectan registros corruptos o con formato inválido, el sistema aplica políticas de omisión (</w:t>
      </w:r>
      <w:proofErr w:type="spellStart"/>
      <w:r w:rsidRPr="005F60E3">
        <w:t>skip</w:t>
      </w:r>
      <w:proofErr w:type="spellEnd"/>
      <w:r w:rsidRPr="005F60E3">
        <w:t>) controlada, desviando la anomalía hacia registros de error sin comprometer el procesamiento del resto del lote. Finalmente, la toma de decisiones del flujo operacional incorpora un componente evaluador de calidad (</w:t>
      </w:r>
      <w:proofErr w:type="spellStart"/>
      <w:r w:rsidRPr="005F60E3">
        <w:t>CalidadDatosDecider</w:t>
      </w:r>
      <w:proofErr w:type="spellEnd"/>
      <w:r w:rsidRPr="005F60E3">
        <w:t xml:space="preserve">) junto con la lógica de </w:t>
      </w:r>
      <w:proofErr w:type="spellStart"/>
      <w:r w:rsidRPr="005F60E3">
        <w:t>ReejecucionAutomatica</w:t>
      </w:r>
      <w:proofErr w:type="spellEnd"/>
      <w:r w:rsidRPr="005F60E3">
        <w:t xml:space="preserve">, lo cual permite diferenciar incidentes técnicos recuperables —los cuales gatillan una </w:t>
      </w:r>
      <w:proofErr w:type="spellStart"/>
      <w:r w:rsidRPr="005F60E3">
        <w:t>reejecución</w:t>
      </w:r>
      <w:proofErr w:type="spellEnd"/>
      <w:r w:rsidRPr="005F60E3">
        <w:t xml:space="preserve"> automática inmediata— de inconsistencias lógicas de datos que fuerzan la detención controlada del proceso para su revisión manual. </w:t>
      </w:r>
    </w:p>
    <w:p w14:paraId="2C0D2C67" w14:textId="77777777" w:rsidR="005F60E3" w:rsidRDefault="005F60E3" w:rsidP="005F60E3">
      <w:pPr>
        <w:jc w:val="both"/>
      </w:pPr>
    </w:p>
    <w:p w14:paraId="596292DD" w14:textId="6D521311" w:rsidR="005F60E3" w:rsidRDefault="005F60E3" w:rsidP="005F60E3">
      <w:pPr>
        <w:pStyle w:val="Prrafodelista"/>
        <w:numPr>
          <w:ilvl w:val="0"/>
          <w:numId w:val="35"/>
        </w:numPr>
        <w:jc w:val="both"/>
        <w:rPr>
          <w:b/>
          <w:bCs/>
        </w:rPr>
      </w:pPr>
      <w:r>
        <w:rPr>
          <w:b/>
          <w:bCs/>
        </w:rPr>
        <w:t>Capa BFF</w:t>
      </w:r>
    </w:p>
    <w:p w14:paraId="571877F8" w14:textId="3B112CDC" w:rsidR="005F60E3" w:rsidRPr="005F60E3" w:rsidRDefault="005F60E3" w:rsidP="005F60E3">
      <w:pPr>
        <w:jc w:val="both"/>
      </w:pPr>
      <w:r w:rsidRPr="005F60E3">
        <w:t xml:space="preserve">La capa intermedia implementa el patrón </w:t>
      </w:r>
      <w:proofErr w:type="spellStart"/>
      <w:r w:rsidRPr="005F60E3">
        <w:t>Backend</w:t>
      </w:r>
      <w:proofErr w:type="spellEnd"/>
      <w:r w:rsidRPr="005F60E3">
        <w:t xml:space="preserve"> </w:t>
      </w:r>
      <w:proofErr w:type="spellStart"/>
      <w:r w:rsidRPr="005F60E3">
        <w:t>for</w:t>
      </w:r>
      <w:proofErr w:type="spellEnd"/>
      <w:r w:rsidRPr="005F60E3">
        <w:t xml:space="preserve"> </w:t>
      </w:r>
      <w:proofErr w:type="spellStart"/>
      <w:r w:rsidRPr="005F60E3">
        <w:t>Frontend</w:t>
      </w:r>
      <w:proofErr w:type="spellEnd"/>
      <w:r w:rsidRPr="005F60E3">
        <w:t xml:space="preserve"> dividiendo las responsabilidades de atención al cliente en tres servicios desacoplados: </w:t>
      </w:r>
      <w:proofErr w:type="spellStart"/>
      <w:r w:rsidRPr="005F60E3">
        <w:t>bff</w:t>
      </w:r>
      <w:proofErr w:type="spellEnd"/>
      <w:r w:rsidRPr="005F60E3">
        <w:t xml:space="preserve">-web, </w:t>
      </w:r>
      <w:proofErr w:type="spellStart"/>
      <w:r w:rsidRPr="005F60E3">
        <w:t>bff-movil</w:t>
      </w:r>
      <w:proofErr w:type="spellEnd"/>
      <w:r w:rsidRPr="005F60E3">
        <w:t xml:space="preserve"> y </w:t>
      </w:r>
      <w:proofErr w:type="spellStart"/>
      <w:r w:rsidRPr="005F60E3">
        <w:t>bff</w:t>
      </w:r>
      <w:proofErr w:type="spellEnd"/>
      <w:r w:rsidRPr="005F60E3">
        <w:t xml:space="preserve">-cajero. Cada uno expone una interfaz REST especializada y actúa como orquestador hacia el ecosistema interno de microservicios, adaptando los contratos de datos y los modelos de interacción a las limitaciones de cada canal.   El servicio </w:t>
      </w:r>
      <w:proofErr w:type="spellStart"/>
      <w:r w:rsidRPr="005F60E3">
        <w:t>bff</w:t>
      </w:r>
      <w:proofErr w:type="spellEnd"/>
      <w:r w:rsidRPr="005F60E3">
        <w:t xml:space="preserve">-web está diseñado para entornos de escritorio y navegadores con acceso a redes de alta capacidad. Su función principal es componer respuestas completas y enriquecidas, agregando en una única interacción datos detallados del cliente, saldos de múltiples cuentas y listas exhaustivas de movimientos para alimentar vistas de usuario complejas y paneles administrativos.   El servicio </w:t>
      </w:r>
      <w:proofErr w:type="spellStart"/>
      <w:r w:rsidRPr="005F60E3">
        <w:t>bff-movil</w:t>
      </w:r>
      <w:proofErr w:type="spellEnd"/>
      <w:r w:rsidRPr="005F60E3">
        <w:t xml:space="preserve"> prioriza la eficiencia en el consumo de ancho de banda y la minimización del uso de memoria en dispositivos móviles. Este componente filtra y comprime las respuestas, limitando la transferencia únicamente a campos esenciales e indicadores resumidos de cuentas y transacciones, lo cual garantiza tiempos de respuesta ágiles incluso en conexiones celulares de baja latencia o alta congestión.   El servicio </w:t>
      </w:r>
      <w:proofErr w:type="spellStart"/>
      <w:r w:rsidRPr="005F60E3">
        <w:t>bff</w:t>
      </w:r>
      <w:proofErr w:type="spellEnd"/>
      <w:r w:rsidRPr="005F60E3">
        <w:t>-cajero atiende las demandas de la red de cajeros automáticos, enfocándose estrictamente en transacciones críticas y de alta disponibilidad, tales como consultas rápidas de balance y dispensación de retiros en efectivo. Su lógica omite información contextual o cosmética innecesaria, operando con estrictas restricciones de tiempo de espera.   En materia de seguridad, los tres servicios operan bajo canales cifrados mediante protocolo HTTPS con certificados TLS. La autenticación y autorización se encuentra desacoplada y descentralizada a través de tokens JWT firmados criptográficamente por el servidor de autorización. Cada BFF verifica que el token contenga la audiencia requerida correspondiente al canal en cuestión. En el canal de cajeros, el esquema añade verificaciones obligatorias de identificación del terminal y validaciones seguras de clave o PIN antes de derivar la operación a los microservicios de dominio.</w:t>
      </w:r>
    </w:p>
    <w:p w14:paraId="21A55BEE" w14:textId="77777777" w:rsidR="005F60E3" w:rsidRDefault="005F60E3" w:rsidP="005F60E3">
      <w:pPr>
        <w:jc w:val="both"/>
        <w:rPr>
          <w:b/>
          <w:bCs/>
        </w:rPr>
      </w:pPr>
    </w:p>
    <w:p w14:paraId="6BEC07CC" w14:textId="2D08E086" w:rsidR="005F60E3" w:rsidRPr="005F60E3" w:rsidRDefault="005F60E3" w:rsidP="005F60E3">
      <w:pPr>
        <w:pStyle w:val="Prrafodelista"/>
        <w:numPr>
          <w:ilvl w:val="0"/>
          <w:numId w:val="35"/>
        </w:numPr>
        <w:jc w:val="both"/>
        <w:rPr>
          <w:b/>
          <w:bCs/>
        </w:rPr>
      </w:pPr>
      <w:r w:rsidRPr="005F60E3">
        <w:rPr>
          <w:b/>
          <w:bCs/>
        </w:rPr>
        <w:t>Ecosistema de Microservicios, Resiliencia y Mensajería</w:t>
      </w:r>
    </w:p>
    <w:p w14:paraId="24DC7E0B" w14:textId="77777777" w:rsidR="005F60E3" w:rsidRDefault="005F60E3" w:rsidP="005F60E3">
      <w:pPr>
        <w:jc w:val="both"/>
      </w:pPr>
      <w:r w:rsidRPr="005F60E3">
        <w:t xml:space="preserve">El núcleo del dominio bancario está constituido por servicios especializados que resuelven las operaciones de negocio de forma autónoma. El servicio ms-cuentas administra el catálogo de cuentas bancarias, el registro de balances en tiempo real y la ejecución de retiros directos. </w:t>
      </w:r>
    </w:p>
    <w:p w14:paraId="51BADC90" w14:textId="77777777" w:rsidR="005F60E3" w:rsidRDefault="005F60E3" w:rsidP="005F60E3">
      <w:pPr>
        <w:jc w:val="both"/>
      </w:pPr>
    </w:p>
    <w:p w14:paraId="55A40C01" w14:textId="77777777" w:rsidR="005F60E3" w:rsidRDefault="005F60E3" w:rsidP="005F60E3">
      <w:pPr>
        <w:jc w:val="both"/>
      </w:pPr>
      <w:r w:rsidRPr="005F60E3">
        <w:t xml:space="preserve">El servicio ms-transferencias procesa transferencias monetarias coordinando la reserva, compensación y liquidación entre distintas cuentas. El servicio ms-auditoria proporciona un registro inmutable de trazabilidad para cada transacción y alerta operativa generada en la plataforma. Cada microservicio se conecta de forma aislada a su respectivo esquema dentro de la base de datos relacional Oracle </w:t>
      </w:r>
      <w:proofErr w:type="spellStart"/>
      <w:r w:rsidRPr="005F60E3">
        <w:t>Autonomous</w:t>
      </w:r>
      <w:proofErr w:type="spellEnd"/>
      <w:r w:rsidRPr="005F60E3">
        <w:t xml:space="preserve"> </w:t>
      </w:r>
      <w:proofErr w:type="spellStart"/>
      <w:r w:rsidRPr="005F60E3">
        <w:t>Database</w:t>
      </w:r>
      <w:proofErr w:type="spellEnd"/>
      <w:r w:rsidRPr="005F60E3">
        <w:t xml:space="preserve">, preservando la independencia del ciclo de datos y evitando dependencias cruzadas a nivel de tablas.   El gobierno de la infraestructura distribuida descansa sobre Spring Cloud. El servicio </w:t>
      </w:r>
      <w:proofErr w:type="spellStart"/>
      <w:r w:rsidRPr="005F60E3">
        <w:t>config</w:t>
      </w:r>
      <w:proofErr w:type="spellEnd"/>
      <w:r w:rsidRPr="005F60E3">
        <w:t xml:space="preserve">-server provee configuración centralizada externa, permitiendo a los microservicios sincronizar parámetros operativos sin necesidad de </w:t>
      </w:r>
      <w:proofErr w:type="spellStart"/>
      <w:r w:rsidRPr="005F60E3">
        <w:t>recompilación</w:t>
      </w:r>
      <w:proofErr w:type="spellEnd"/>
      <w:r w:rsidRPr="005F60E3">
        <w:t xml:space="preserve"> de código ni reinicios de contenedores. El servicio eureka-server actúa como registro y catálogo dinámico de servicios, habilitando la resolución de nombres y el balanceo de carga del lado del cliente mediante la notación lb://, lo cual permite distribuir peticiones de forma transparente entre múltiples instancias activas de un mismo servicio.   La tolerancia a fallos ante llamadas remotas se asegura integrando la librería Resilience4j en los clientes de comunicación entre servicios. Cada </w:t>
      </w:r>
      <w:proofErr w:type="spellStart"/>
      <w:r w:rsidRPr="005F60E3">
        <w:t>endpoint</w:t>
      </w:r>
      <w:proofErr w:type="spellEnd"/>
      <w:r w:rsidRPr="005F60E3">
        <w:t xml:space="preserve"> crítico está resguardado por un </w:t>
      </w:r>
      <w:proofErr w:type="spellStart"/>
      <w:r w:rsidRPr="005F60E3">
        <w:t>Circuit</w:t>
      </w:r>
      <w:proofErr w:type="spellEnd"/>
      <w:r w:rsidRPr="005F60E3">
        <w:t xml:space="preserve"> Breaker que monitorea la tasa de fallos; al superar el umbral de degradación, el circuito se abre de inmediato para evitar la saturación de subprocesos y permitir la recuperación del servicio degradado. Complementariamente, se definen políticas de aislamiento con </w:t>
      </w:r>
      <w:proofErr w:type="spellStart"/>
      <w:r w:rsidRPr="005F60E3">
        <w:t>Bulkhead</w:t>
      </w:r>
      <w:proofErr w:type="spellEnd"/>
      <w:r w:rsidRPr="005F60E3">
        <w:t xml:space="preserve"> para restringir el número máximo de ejecuciones concurrentes, reintentos temporizados con retroceso exponencial, y métodos de degradación elegante (</w:t>
      </w:r>
      <w:proofErr w:type="spellStart"/>
      <w:r w:rsidRPr="005F60E3">
        <w:t>fallbacks</w:t>
      </w:r>
      <w:proofErr w:type="spellEnd"/>
      <w:r w:rsidRPr="005F60E3">
        <w:t xml:space="preserve">) que devuelven respuestas controladas o en caché cuando un servicio dependiente no responde, preservando la continuidad de la experiencia del usuario.   </w:t>
      </w:r>
    </w:p>
    <w:p w14:paraId="2DDB4D04" w14:textId="77777777" w:rsidR="005F60E3" w:rsidRDefault="005F60E3" w:rsidP="005F60E3">
      <w:pPr>
        <w:jc w:val="both"/>
      </w:pPr>
    </w:p>
    <w:p w14:paraId="1C7B1FA9" w14:textId="116D6C2A" w:rsidR="000447F4" w:rsidRDefault="005F60E3" w:rsidP="005F60E3">
      <w:pPr>
        <w:jc w:val="both"/>
      </w:pPr>
      <w:r w:rsidRPr="005F60E3">
        <w:t xml:space="preserve">La comunicación asíncrona y la consistencia eventual se implementan mediante una arquitectura orientada a eventos soportada por un </w:t>
      </w:r>
      <w:proofErr w:type="spellStart"/>
      <w:r w:rsidRPr="005F60E3">
        <w:t>broker</w:t>
      </w:r>
      <w:proofErr w:type="spellEnd"/>
      <w:r w:rsidRPr="005F60E3">
        <w:t xml:space="preserve"> de mensajería configurado con tópicos especializados. El flujo de transferencias monetarias aplica el Patrón Saga coreografiado, coordinando productores y consumidores desacoplados. Para evitar discrepancias entre el estado de la base de datos y la publicación de eventos en el </w:t>
      </w:r>
      <w:proofErr w:type="spellStart"/>
      <w:r w:rsidRPr="005F60E3">
        <w:t>broker</w:t>
      </w:r>
      <w:proofErr w:type="spellEnd"/>
      <w:r w:rsidRPr="005F60E3">
        <w:t xml:space="preserve">, se utiliza el patrón transaccional </w:t>
      </w:r>
      <w:proofErr w:type="spellStart"/>
      <w:r w:rsidRPr="005F60E3">
        <w:t>Outbox</w:t>
      </w:r>
      <w:proofErr w:type="spellEnd"/>
      <w:r w:rsidRPr="005F60E3">
        <w:t>, asegurando que un mensaje solo sea emitido cuando la transacción de base de datos se confirme satisfactoriamente. Los eventos defectuosos o no procesables tras múltiples intentos son derivados hacia colas de mensajes fallidos (</w:t>
      </w:r>
      <w:proofErr w:type="spellStart"/>
      <w:r w:rsidRPr="005F60E3">
        <w:t>Dead</w:t>
      </w:r>
      <w:proofErr w:type="spellEnd"/>
      <w:r w:rsidRPr="005F60E3">
        <w:t xml:space="preserve"> Letter </w:t>
      </w:r>
      <w:proofErr w:type="spellStart"/>
      <w:r w:rsidRPr="005F60E3">
        <w:t>Queues</w:t>
      </w:r>
      <w:proofErr w:type="spellEnd"/>
      <w:r w:rsidRPr="005F60E3">
        <w:t xml:space="preserve"> - DLQ), lo que preserva el flujo transaccional continuo de los tópicos sin pérdida de trazabilidad contable.</w:t>
      </w:r>
    </w:p>
    <w:p w14:paraId="00654234" w14:textId="77777777" w:rsidR="000447F4" w:rsidRDefault="000447F4" w:rsidP="006E5B15"/>
    <w:p w14:paraId="4A5FB5DB" w14:textId="0BD09E5B" w:rsidR="005F60E3" w:rsidRDefault="005F60E3" w:rsidP="005F60E3">
      <w:pPr>
        <w:pStyle w:val="Ttulo1"/>
        <w:jc w:val="both"/>
      </w:pPr>
      <w:bookmarkStart w:id="4" w:name="_Toc242392714"/>
      <w:r>
        <w:t>Conclusión</w:t>
      </w:r>
      <w:bookmarkEnd w:id="4"/>
    </w:p>
    <w:p w14:paraId="4AB363CE" w14:textId="77777777" w:rsidR="005F60E3" w:rsidRDefault="005F60E3" w:rsidP="005F60E3">
      <w:pPr>
        <w:jc w:val="both"/>
      </w:pPr>
      <w:r w:rsidRPr="005F60E3">
        <w:t xml:space="preserve">La modernización de la plataforma tecnológica del Banco XYZ marca una transición decisiva desde un esquema monolítico legado en mainframe hacia un ecosistema distribuido, elástico y desacoplado sustentado en microservicios y computación en la nube. A través de esta implementación, se logró resolver los principales cuellos de botella operativos que afectaban a la institución, garantizando que el procesamiento masivo de datos mediante Spring Batch opere con capacidades avanzadas de particionado, concurrencia, reintentos controlados y </w:t>
      </w:r>
      <w:proofErr w:type="spellStart"/>
      <w:r w:rsidRPr="005F60E3">
        <w:t>reejecución</w:t>
      </w:r>
      <w:proofErr w:type="spellEnd"/>
      <w:r w:rsidRPr="005F60E3">
        <w:t xml:space="preserve"> automática ante incidencias técnicas. Esto optimiza significativamente las ventanas nocturnas de procesamiento y asegura la estricta integridad de los registros contables.   </w:t>
      </w:r>
    </w:p>
    <w:p w14:paraId="6BBE2C37" w14:textId="77777777" w:rsidR="005F60E3" w:rsidRDefault="005F60E3" w:rsidP="005F60E3">
      <w:pPr>
        <w:jc w:val="both"/>
      </w:pPr>
    </w:p>
    <w:p w14:paraId="6967AA71" w14:textId="77777777" w:rsidR="005F60E3" w:rsidRDefault="005F60E3" w:rsidP="005F60E3">
      <w:pPr>
        <w:jc w:val="both"/>
      </w:pPr>
      <w:r w:rsidRPr="005F60E3">
        <w:t xml:space="preserve">En el ámbito de la integración y experiencia de usuario, la adopción del patrón </w:t>
      </w:r>
      <w:proofErr w:type="spellStart"/>
      <w:r w:rsidRPr="005F60E3">
        <w:t>Backend</w:t>
      </w:r>
      <w:proofErr w:type="spellEnd"/>
      <w:r w:rsidRPr="005F60E3">
        <w:t xml:space="preserve"> </w:t>
      </w:r>
      <w:proofErr w:type="spellStart"/>
      <w:r w:rsidRPr="005F60E3">
        <w:t>for</w:t>
      </w:r>
      <w:proofErr w:type="spellEnd"/>
      <w:r w:rsidRPr="005F60E3">
        <w:t xml:space="preserve"> </w:t>
      </w:r>
      <w:proofErr w:type="spellStart"/>
      <w:r w:rsidRPr="005F60E3">
        <w:t>Frontend</w:t>
      </w:r>
      <w:proofErr w:type="spellEnd"/>
      <w:r w:rsidRPr="005F60E3">
        <w:t xml:space="preserve"> permitió especializar la entrega de datos según las demandas y restricciones de los canales web, móvil y cajeros automáticos. Esta separación eliminó el </w:t>
      </w:r>
      <w:proofErr w:type="spellStart"/>
      <w:r w:rsidRPr="005F60E3">
        <w:t>sobre-procesamiento</w:t>
      </w:r>
      <w:proofErr w:type="spellEnd"/>
      <w:r w:rsidRPr="005F60E3">
        <w:t xml:space="preserve"> de datos y facilitó el gobierno independiente de las interfaces, mientras que la centralización de la seguridad bajo OAuth 2.0 y JWT consolidó un esquema de autenticación robusto, auditable y diferenciado por canal. Asimismo, la integración de patrones de resiliencia con Resilience4j y la orquestación asíncrona de transferencias bajo el Patrón Saga y </w:t>
      </w:r>
      <w:proofErr w:type="spellStart"/>
      <w:r w:rsidRPr="005F60E3">
        <w:t>Outbox</w:t>
      </w:r>
      <w:proofErr w:type="spellEnd"/>
      <w:r w:rsidRPr="005F60E3">
        <w:t xml:space="preserve"> dotaron a la arquitectura de tolerancia a fallos y consistencia eventual, aislando caídas parciales para proteger la disponibilidad global de las operaciones bancarias.   </w:t>
      </w:r>
    </w:p>
    <w:p w14:paraId="02F00EFC" w14:textId="77777777" w:rsidR="005F60E3" w:rsidRDefault="005F60E3" w:rsidP="005F60E3">
      <w:pPr>
        <w:jc w:val="both"/>
      </w:pPr>
    </w:p>
    <w:p w14:paraId="391384F3" w14:textId="490293E2" w:rsidR="005F60E3" w:rsidRPr="005F60E3" w:rsidRDefault="005F60E3" w:rsidP="005F60E3">
      <w:pPr>
        <w:jc w:val="both"/>
      </w:pPr>
      <w:r w:rsidRPr="005F60E3">
        <w:t>Como ruta de evolución y próximos pasos, se identifican mejoras estratégicas orientadas a consolidar la madurez productiva del sistema. Entre ellas destacan la transición directa del transporte de eventos hacia clústeres nativos de Apache Kafka (</w:t>
      </w:r>
      <w:proofErr w:type="spellStart"/>
      <w:r w:rsidRPr="005F60E3">
        <w:t>KRaft</w:t>
      </w:r>
      <w:proofErr w:type="spellEnd"/>
      <w:r w:rsidRPr="005F60E3">
        <w:t>), el desacoplamiento formal de los datos de perfiles de clientes en un microservicio dedicado de Gestión de Clientes (ms-clientes), la incorporación de una capa perimetral unificada mediante Spring Cloud Gateway y la extensión de políticas de escalabilidad horizontal automatizada hacia todos los servicios del dominio transaccional. La base arquitectónica implementada posiciona al Banco XYZ en un marco tecnológico competitivo, modular y preparado para responder con agilidad a las futuras exigencias del mercado financiero.</w:t>
      </w:r>
    </w:p>
    <w:p w14:paraId="4DE2A425" w14:textId="77777777" w:rsidR="000447F4" w:rsidRDefault="000447F4" w:rsidP="006E5B15"/>
    <w:p w14:paraId="03F2F800" w14:textId="77777777" w:rsidR="000447F4" w:rsidRDefault="000447F4" w:rsidP="006E5B15"/>
    <w:p w14:paraId="564180F0" w14:textId="77777777" w:rsidR="000447F4" w:rsidRDefault="000447F4" w:rsidP="006E5B15"/>
    <w:p w14:paraId="4FC8CAB2" w14:textId="77777777" w:rsidR="000447F4" w:rsidRDefault="000447F4" w:rsidP="006E5B15"/>
    <w:p w14:paraId="715E898C" w14:textId="77777777" w:rsidR="000447F4" w:rsidRDefault="000447F4" w:rsidP="006E5B15"/>
    <w:p w14:paraId="02CF2831" w14:textId="77777777" w:rsidR="000447F4" w:rsidRDefault="000447F4" w:rsidP="006E5B15"/>
    <w:p w14:paraId="65A91990" w14:textId="77777777" w:rsidR="000447F4" w:rsidRDefault="000447F4" w:rsidP="006E5B15"/>
    <w:p w14:paraId="677D8EA9" w14:textId="77777777" w:rsidR="000447F4" w:rsidRDefault="000447F4" w:rsidP="006E5B15"/>
    <w:p w14:paraId="09D2D20A" w14:textId="77777777" w:rsidR="000447F4" w:rsidRDefault="000447F4" w:rsidP="006E5B15"/>
    <w:p w14:paraId="14736BD0" w14:textId="77777777" w:rsidR="000447F4" w:rsidRDefault="000447F4" w:rsidP="006E5B15"/>
    <w:p w14:paraId="1779CE83" w14:textId="77777777" w:rsidR="000447F4" w:rsidRDefault="000447F4"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650E3E5F">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15"/>
      <w:footerReference w:type="default" r:id="rId16"/>
      <w:headerReference w:type="first" r:id="rId17"/>
      <w:footerReference w:type="first" r:id="rId18"/>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FBFA" w14:textId="77777777" w:rsidR="00357810" w:rsidRDefault="00357810" w:rsidP="00E11209">
      <w:r>
        <w:separator/>
      </w:r>
    </w:p>
  </w:endnote>
  <w:endnote w:type="continuationSeparator" w:id="0">
    <w:p w14:paraId="339894DB" w14:textId="77777777" w:rsidR="00357810" w:rsidRDefault="00357810"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6A715267" w14:textId="77777777" w:rsidTr="745661E0">
      <w:trPr>
        <w:trHeight w:val="300"/>
      </w:trPr>
      <w:tc>
        <w:tcPr>
          <w:tcW w:w="3305" w:type="dxa"/>
        </w:tcPr>
        <w:p w14:paraId="007FA8EA" w14:textId="76A59B39" w:rsidR="745661E0" w:rsidRDefault="745661E0" w:rsidP="745661E0">
          <w:pPr>
            <w:pStyle w:val="Encabezado"/>
            <w:ind w:left="-115"/>
          </w:pPr>
        </w:p>
      </w:tc>
      <w:tc>
        <w:tcPr>
          <w:tcW w:w="3305" w:type="dxa"/>
        </w:tcPr>
        <w:p w14:paraId="64E762DF" w14:textId="52A53698" w:rsidR="745661E0" w:rsidRDefault="745661E0" w:rsidP="745661E0">
          <w:pPr>
            <w:pStyle w:val="Encabezado"/>
            <w:jc w:val="center"/>
          </w:pPr>
        </w:p>
      </w:tc>
      <w:tc>
        <w:tcPr>
          <w:tcW w:w="3305" w:type="dxa"/>
        </w:tcPr>
        <w:p w14:paraId="21DD27CF" w14:textId="245FF023" w:rsidR="745661E0" w:rsidRDefault="745661E0" w:rsidP="745661E0">
          <w:pPr>
            <w:pStyle w:val="Encabezado"/>
            <w:ind w:right="-115"/>
            <w:jc w:val="right"/>
          </w:pPr>
        </w:p>
      </w:tc>
    </w:tr>
  </w:tbl>
  <w:p w14:paraId="440A548C" w14:textId="09CFB9D8"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E539" w14:textId="77777777" w:rsidR="00357810" w:rsidRDefault="00357810" w:rsidP="00E11209">
      <w:r>
        <w:separator/>
      </w:r>
    </w:p>
  </w:footnote>
  <w:footnote w:type="continuationSeparator" w:id="0">
    <w:p w14:paraId="280AF4C6" w14:textId="77777777" w:rsidR="00357810" w:rsidRDefault="00357810"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143E2EE" w14:textId="77777777" w:rsidTr="745661E0">
      <w:trPr>
        <w:trHeight w:val="300"/>
      </w:trPr>
      <w:tc>
        <w:tcPr>
          <w:tcW w:w="3305" w:type="dxa"/>
        </w:tcPr>
        <w:p w14:paraId="3F99569C" w14:textId="58D8C96C" w:rsidR="745661E0" w:rsidRDefault="745661E0" w:rsidP="745661E0">
          <w:pPr>
            <w:pStyle w:val="Encabezado"/>
            <w:ind w:left="-115"/>
          </w:pPr>
        </w:p>
      </w:tc>
      <w:tc>
        <w:tcPr>
          <w:tcW w:w="3305" w:type="dxa"/>
        </w:tcPr>
        <w:p w14:paraId="28DE45CC" w14:textId="464111F7" w:rsidR="745661E0" w:rsidRDefault="745661E0" w:rsidP="745661E0">
          <w:pPr>
            <w:pStyle w:val="Encabezado"/>
            <w:jc w:val="center"/>
          </w:pPr>
        </w:p>
      </w:tc>
      <w:tc>
        <w:tcPr>
          <w:tcW w:w="3305" w:type="dxa"/>
        </w:tcPr>
        <w:p w14:paraId="57324BF0" w14:textId="4B087EEB" w:rsidR="745661E0" w:rsidRDefault="745661E0" w:rsidP="745661E0">
          <w:pPr>
            <w:pStyle w:val="Encabezado"/>
            <w:ind w:right="-115"/>
            <w:jc w:val="right"/>
          </w:pPr>
        </w:p>
      </w:tc>
    </w:tr>
  </w:tbl>
  <w:p w14:paraId="03A52999" w14:textId="47459D81"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38C1B6A"/>
    <w:multiLevelType w:val="hybridMultilevel"/>
    <w:tmpl w:val="8C7E37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7609A8"/>
    <w:multiLevelType w:val="multilevel"/>
    <w:tmpl w:val="59E62DF2"/>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08200F"/>
    <w:multiLevelType w:val="hybridMultilevel"/>
    <w:tmpl w:val="3368A8BC"/>
    <w:lvl w:ilvl="0" w:tplc="290AABAA">
      <w:start w:val="1"/>
      <w:numFmt w:val="bullet"/>
      <w:lvlText w:val="-"/>
      <w:lvlJc w:val="left"/>
      <w:pPr>
        <w:ind w:left="720" w:hanging="360"/>
      </w:pPr>
      <w:rPr>
        <w:rFonts w:ascii="Arial" w:eastAsiaTheme="minorHAnsi"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9880A37"/>
    <w:multiLevelType w:val="multilevel"/>
    <w:tmpl w:val="109E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E4E1F76"/>
    <w:multiLevelType w:val="hybridMultilevel"/>
    <w:tmpl w:val="930227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8195F3A"/>
    <w:multiLevelType w:val="hybridMultilevel"/>
    <w:tmpl w:val="0EECDA3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CB50FEE"/>
    <w:multiLevelType w:val="multilevel"/>
    <w:tmpl w:val="9BD2629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6663EAC"/>
    <w:multiLevelType w:val="hybridMultilevel"/>
    <w:tmpl w:val="4A3EB6A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4E03511"/>
    <w:multiLevelType w:val="hybridMultilevel"/>
    <w:tmpl w:val="42E6CE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B2960CE"/>
    <w:multiLevelType w:val="multilevel"/>
    <w:tmpl w:val="13B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D662078"/>
    <w:multiLevelType w:val="hybridMultilevel"/>
    <w:tmpl w:val="748450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121564A"/>
    <w:multiLevelType w:val="multilevel"/>
    <w:tmpl w:val="1E284E6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3"/>
  </w:num>
  <w:num w:numId="2" w16cid:durableId="918952730">
    <w:abstractNumId w:val="32"/>
  </w:num>
  <w:num w:numId="3" w16cid:durableId="62918776">
    <w:abstractNumId w:val="0"/>
  </w:num>
  <w:num w:numId="4" w16cid:durableId="1908296309">
    <w:abstractNumId w:val="12"/>
  </w:num>
  <w:num w:numId="5" w16cid:durableId="2120369626">
    <w:abstractNumId w:val="9"/>
  </w:num>
  <w:num w:numId="6" w16cid:durableId="2098285275">
    <w:abstractNumId w:val="27"/>
  </w:num>
  <w:num w:numId="7" w16cid:durableId="86119106">
    <w:abstractNumId w:val="21"/>
  </w:num>
  <w:num w:numId="8" w16cid:durableId="88963626">
    <w:abstractNumId w:val="30"/>
  </w:num>
  <w:num w:numId="9" w16cid:durableId="1780832427">
    <w:abstractNumId w:val="25"/>
  </w:num>
  <w:num w:numId="10" w16cid:durableId="762726613">
    <w:abstractNumId w:val="20"/>
  </w:num>
  <w:num w:numId="11" w16cid:durableId="1145703006">
    <w:abstractNumId w:val="34"/>
  </w:num>
  <w:num w:numId="12" w16cid:durableId="1777099741">
    <w:abstractNumId w:val="18"/>
  </w:num>
  <w:num w:numId="13" w16cid:durableId="1832066065">
    <w:abstractNumId w:val="24"/>
  </w:num>
  <w:num w:numId="14" w16cid:durableId="208349096">
    <w:abstractNumId w:val="4"/>
  </w:num>
  <w:num w:numId="15" w16cid:durableId="1328360745">
    <w:abstractNumId w:val="16"/>
  </w:num>
  <w:num w:numId="16" w16cid:durableId="878516571">
    <w:abstractNumId w:val="28"/>
  </w:num>
  <w:num w:numId="17" w16cid:durableId="459500642">
    <w:abstractNumId w:val="10"/>
  </w:num>
  <w:num w:numId="18" w16cid:durableId="1377971676">
    <w:abstractNumId w:val="1"/>
  </w:num>
  <w:num w:numId="19" w16cid:durableId="1227258694">
    <w:abstractNumId w:val="33"/>
  </w:num>
  <w:num w:numId="20" w16cid:durableId="61680940">
    <w:abstractNumId w:val="8"/>
  </w:num>
  <w:num w:numId="21" w16cid:durableId="1265109110">
    <w:abstractNumId w:val="19"/>
  </w:num>
  <w:num w:numId="22" w16cid:durableId="1849247565">
    <w:abstractNumId w:val="6"/>
  </w:num>
  <w:num w:numId="23" w16cid:durableId="1643805011">
    <w:abstractNumId w:val="15"/>
  </w:num>
  <w:num w:numId="24" w16cid:durableId="1479037126">
    <w:abstractNumId w:val="14"/>
  </w:num>
  <w:num w:numId="25" w16cid:durableId="1465267220">
    <w:abstractNumId w:val="23"/>
  </w:num>
  <w:num w:numId="26" w16cid:durableId="1749885597">
    <w:abstractNumId w:val="17"/>
  </w:num>
  <w:num w:numId="27" w16cid:durableId="1466662414">
    <w:abstractNumId w:val="31"/>
  </w:num>
  <w:num w:numId="28" w16cid:durableId="1258438841">
    <w:abstractNumId w:val="26"/>
  </w:num>
  <w:num w:numId="29" w16cid:durableId="520362603">
    <w:abstractNumId w:val="11"/>
  </w:num>
  <w:num w:numId="30" w16cid:durableId="781069752">
    <w:abstractNumId w:val="29"/>
  </w:num>
  <w:num w:numId="31" w16cid:durableId="1430782552">
    <w:abstractNumId w:val="22"/>
  </w:num>
  <w:num w:numId="32" w16cid:durableId="1878814744">
    <w:abstractNumId w:val="7"/>
  </w:num>
  <w:num w:numId="33" w16cid:durableId="326859193">
    <w:abstractNumId w:val="5"/>
  </w:num>
  <w:num w:numId="34" w16cid:durableId="1608998542">
    <w:abstractNumId w:val="2"/>
  </w:num>
  <w:num w:numId="35" w16cid:durableId="2005669076">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447F4"/>
    <w:rsid w:val="000576DB"/>
    <w:rsid w:val="00060629"/>
    <w:rsid w:val="00060CAE"/>
    <w:rsid w:val="000775F5"/>
    <w:rsid w:val="0009033F"/>
    <w:rsid w:val="000A1297"/>
    <w:rsid w:val="000A285B"/>
    <w:rsid w:val="000A5AD2"/>
    <w:rsid w:val="000A5E01"/>
    <w:rsid w:val="000A6102"/>
    <w:rsid w:val="000B0D93"/>
    <w:rsid w:val="000B49DF"/>
    <w:rsid w:val="000C6E41"/>
    <w:rsid w:val="000D1B71"/>
    <w:rsid w:val="000D79CA"/>
    <w:rsid w:val="000E3DD9"/>
    <w:rsid w:val="000E59A2"/>
    <w:rsid w:val="00101BE9"/>
    <w:rsid w:val="0011094F"/>
    <w:rsid w:val="00112576"/>
    <w:rsid w:val="001227E8"/>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17565"/>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7E2F"/>
    <w:rsid w:val="00332308"/>
    <w:rsid w:val="00342C47"/>
    <w:rsid w:val="00347660"/>
    <w:rsid w:val="00347C3B"/>
    <w:rsid w:val="00352BFD"/>
    <w:rsid w:val="00357810"/>
    <w:rsid w:val="00361D9C"/>
    <w:rsid w:val="0036520D"/>
    <w:rsid w:val="00366727"/>
    <w:rsid w:val="003669A2"/>
    <w:rsid w:val="0037313D"/>
    <w:rsid w:val="003735E8"/>
    <w:rsid w:val="003754BE"/>
    <w:rsid w:val="00383628"/>
    <w:rsid w:val="00391E3E"/>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596"/>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5F60E3"/>
    <w:rsid w:val="005F7C8F"/>
    <w:rsid w:val="00620812"/>
    <w:rsid w:val="00625D00"/>
    <w:rsid w:val="0062646D"/>
    <w:rsid w:val="0062759D"/>
    <w:rsid w:val="00630A4D"/>
    <w:rsid w:val="00630FEF"/>
    <w:rsid w:val="006342DA"/>
    <w:rsid w:val="00635F52"/>
    <w:rsid w:val="006409EA"/>
    <w:rsid w:val="00640CD4"/>
    <w:rsid w:val="00641DA3"/>
    <w:rsid w:val="00645247"/>
    <w:rsid w:val="00653D11"/>
    <w:rsid w:val="0065508A"/>
    <w:rsid w:val="00663FEE"/>
    <w:rsid w:val="0067245D"/>
    <w:rsid w:val="00684DF1"/>
    <w:rsid w:val="00694AD5"/>
    <w:rsid w:val="006A1044"/>
    <w:rsid w:val="006A4DF3"/>
    <w:rsid w:val="006A5163"/>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96BE1"/>
    <w:rsid w:val="007A41F1"/>
    <w:rsid w:val="007A6A27"/>
    <w:rsid w:val="007B2572"/>
    <w:rsid w:val="007C070B"/>
    <w:rsid w:val="007C31C1"/>
    <w:rsid w:val="007D07EB"/>
    <w:rsid w:val="007D4205"/>
    <w:rsid w:val="007D7C19"/>
    <w:rsid w:val="007E05B3"/>
    <w:rsid w:val="007E05F2"/>
    <w:rsid w:val="007F6F9C"/>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6CEA"/>
    <w:rsid w:val="008906BF"/>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4115"/>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27B1"/>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04A37"/>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8627E"/>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678AF"/>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DF762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25BDB"/>
    <w:rsid w:val="00F408EE"/>
    <w:rsid w:val="00F416AE"/>
    <w:rsid w:val="00F4193C"/>
    <w:rsid w:val="00F52131"/>
    <w:rsid w:val="00F616BC"/>
    <w:rsid w:val="00F63CA2"/>
    <w:rsid w:val="00F63D4D"/>
    <w:rsid w:val="00F81728"/>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 w:type="paragraph" w:styleId="TtuloTDC">
    <w:name w:val="TOC Heading"/>
    <w:basedOn w:val="Ttulo1"/>
    <w:next w:val="Normal"/>
    <w:uiPriority w:val="39"/>
    <w:unhideWhenUsed/>
    <w:qFormat/>
    <w:rsid w:val="000447F4"/>
    <w:pPr>
      <w:spacing w:before="240" w:after="0" w:line="259" w:lineRule="auto"/>
      <w:outlineLvl w:val="9"/>
    </w:pPr>
    <w:rPr>
      <w:rFonts w:asciiTheme="majorHAnsi" w:hAnsiTheme="majorHAnsi"/>
      <w:b w:val="0"/>
      <w:color w:val="2F5496" w:themeColor="accent1" w:themeShade="BF"/>
      <w:sz w:val="32"/>
      <w:lang w:eastAsia="es-CL"/>
    </w:rPr>
  </w:style>
  <w:style w:type="paragraph" w:styleId="NormalWeb">
    <w:name w:val="Normal (Web)"/>
    <w:basedOn w:val="Normal"/>
    <w:uiPriority w:val="99"/>
    <w:semiHidden/>
    <w:unhideWhenUsed/>
    <w:rsid w:val="005F60E3"/>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CdigoHTML">
    <w:name w:val="HTML Code"/>
    <w:basedOn w:val="Fuentedeprrafopredeter"/>
    <w:uiPriority w:val="99"/>
    <w:semiHidden/>
    <w:unhideWhenUsed/>
    <w:rsid w:val="005F60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2.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3.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3101</Words>
  <Characters>17059</Characters>
  <Application>Microsoft Office Word</Application>
  <DocSecurity>0</DocSecurity>
  <Lines>142</Lines>
  <Paragraphs>40</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Introducción</vt:lpstr>
      <vt:lpstr>Identificación de procesos clave de migración</vt:lpstr>
      <vt:lpstr>Conclusión</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SEBASTIAN DARIO FIGUEROA ZANONI</cp:lastModifiedBy>
  <cp:revision>5</cp:revision>
  <dcterms:created xsi:type="dcterms:W3CDTF">2026-10-09T01:27:00Z</dcterms:created>
  <dcterms:modified xsi:type="dcterms:W3CDTF">2026-10-09T01:58:00Z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